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05" w:type="dxa"/>
        <w:tblLook w:val="04A0" w:firstRow="1" w:lastRow="0" w:firstColumn="1" w:lastColumn="0" w:noHBand="0" w:noVBand="1"/>
      </w:tblPr>
      <w:tblGrid>
        <w:gridCol w:w="895"/>
        <w:gridCol w:w="6750"/>
        <w:gridCol w:w="6660"/>
      </w:tblGrid>
      <w:tr w:rsidR="00A13968" w:rsidRPr="00C64126" w14:paraId="616DF26B" w14:textId="77777777" w:rsidTr="009E33ED">
        <w:trPr>
          <w:trHeight w:val="1430"/>
        </w:trPr>
        <w:tc>
          <w:tcPr>
            <w:tcW w:w="14305" w:type="dxa"/>
            <w:gridSpan w:val="3"/>
          </w:tcPr>
          <w:p w14:paraId="56C4986D" w14:textId="5BCB454D" w:rsidR="000D38F7" w:rsidRPr="001F0115" w:rsidRDefault="000D38F7" w:rsidP="00A13968">
            <w:pPr>
              <w:jc w:val="center"/>
              <w:rPr>
                <w:rFonts w:ascii="Arial" w:eastAsiaTheme="majorEastAsia" w:hAnsi="Arial" w:cs="Arial"/>
                <w:sz w:val="32"/>
                <w:szCs w:val="32"/>
              </w:rPr>
            </w:pPr>
            <w:r w:rsidRPr="001F0115">
              <w:rPr>
                <w:rFonts w:ascii="Arial" w:eastAsiaTheme="majorEastAsia" w:hAnsi="Arial" w:cs="Arial"/>
                <w:sz w:val="32"/>
                <w:szCs w:val="32"/>
              </w:rPr>
              <w:t>Request for Proposal</w:t>
            </w:r>
            <w:r w:rsidR="00B76BB9" w:rsidRPr="001F0115">
              <w:rPr>
                <w:rFonts w:ascii="Arial" w:eastAsiaTheme="majorEastAsia" w:hAnsi="Arial" w:cs="Arial"/>
                <w:sz w:val="32"/>
                <w:szCs w:val="32"/>
              </w:rPr>
              <w:t>s</w:t>
            </w:r>
            <w:r w:rsidR="00EF42DB">
              <w:rPr>
                <w:rFonts w:ascii="Arial" w:eastAsiaTheme="majorEastAsia" w:hAnsi="Arial" w:cs="Arial"/>
                <w:sz w:val="32"/>
                <w:szCs w:val="32"/>
              </w:rPr>
              <w:t xml:space="preserve"> (“RFP”)</w:t>
            </w:r>
            <w:r w:rsidRPr="001F0115">
              <w:rPr>
                <w:rFonts w:ascii="Arial" w:eastAsiaTheme="majorEastAsia" w:hAnsi="Arial" w:cs="Arial"/>
                <w:sz w:val="32"/>
                <w:szCs w:val="32"/>
              </w:rPr>
              <w:t xml:space="preserve"> </w:t>
            </w:r>
            <w:r w:rsidR="00CD29A2" w:rsidRPr="001F0115">
              <w:rPr>
                <w:rFonts w:ascii="Arial" w:eastAsiaTheme="majorEastAsia" w:hAnsi="Arial" w:cs="Arial"/>
                <w:sz w:val="32"/>
                <w:szCs w:val="32"/>
              </w:rPr>
              <w:t>for</w:t>
            </w:r>
            <w:r w:rsidRPr="001F0115">
              <w:rPr>
                <w:rFonts w:ascii="Arial" w:eastAsiaTheme="majorEastAsia" w:hAnsi="Arial" w:cs="Arial"/>
                <w:sz w:val="32"/>
                <w:szCs w:val="32"/>
              </w:rPr>
              <w:t xml:space="preserve"> Actuarial Services</w:t>
            </w:r>
          </w:p>
          <w:p w14:paraId="25889C7B" w14:textId="77777777" w:rsidR="00EF42DB" w:rsidRDefault="00EF42DB" w:rsidP="00A13968">
            <w:pPr>
              <w:jc w:val="center"/>
              <w:rPr>
                <w:rFonts w:ascii="Arial" w:hAnsi="Arial" w:cs="Arial"/>
                <w:b/>
                <w:bCs/>
                <w:u w:val="single"/>
              </w:rPr>
            </w:pPr>
          </w:p>
          <w:p w14:paraId="5F34C4A8" w14:textId="4ACFEB74" w:rsidR="00A13968" w:rsidRPr="001F0115" w:rsidRDefault="00A13968" w:rsidP="00A13968">
            <w:pPr>
              <w:jc w:val="center"/>
              <w:rPr>
                <w:rFonts w:ascii="Arial" w:hAnsi="Arial" w:cs="Arial"/>
                <w:b/>
                <w:bCs/>
                <w:u w:val="single"/>
              </w:rPr>
            </w:pPr>
            <w:r w:rsidRPr="001F0115">
              <w:rPr>
                <w:rFonts w:ascii="Arial" w:hAnsi="Arial" w:cs="Arial"/>
                <w:b/>
                <w:bCs/>
                <w:u w:val="single"/>
              </w:rPr>
              <w:t>Addendum No. 1</w:t>
            </w:r>
            <w:r w:rsidR="00C55C1D" w:rsidRPr="001F0115">
              <w:rPr>
                <w:rFonts w:ascii="Arial" w:hAnsi="Arial" w:cs="Arial"/>
                <w:b/>
                <w:bCs/>
                <w:u w:val="single"/>
              </w:rPr>
              <w:t xml:space="preserve"> – Questions </w:t>
            </w:r>
            <w:r w:rsidR="001F1080" w:rsidRPr="001F0115">
              <w:rPr>
                <w:rFonts w:ascii="Arial" w:hAnsi="Arial" w:cs="Arial"/>
                <w:b/>
                <w:bCs/>
                <w:u w:val="single"/>
              </w:rPr>
              <w:t>&amp;</w:t>
            </w:r>
            <w:r w:rsidR="00C55C1D" w:rsidRPr="001F0115">
              <w:rPr>
                <w:rFonts w:ascii="Arial" w:hAnsi="Arial" w:cs="Arial"/>
                <w:b/>
                <w:bCs/>
                <w:u w:val="single"/>
              </w:rPr>
              <w:t xml:space="preserve"> Answers</w:t>
            </w:r>
          </w:p>
          <w:p w14:paraId="0D3C8BA8" w14:textId="77777777" w:rsidR="003D2607" w:rsidRDefault="003D2607" w:rsidP="00A13968">
            <w:pPr>
              <w:jc w:val="center"/>
              <w:rPr>
                <w:rFonts w:ascii="Arial" w:hAnsi="Arial" w:cs="Arial"/>
                <w:b/>
                <w:bCs/>
              </w:rPr>
            </w:pPr>
          </w:p>
          <w:p w14:paraId="17AF5CEC" w14:textId="0CF42503" w:rsidR="00C55C1D" w:rsidRPr="001F0115" w:rsidRDefault="00922F7F" w:rsidP="00A13968">
            <w:pPr>
              <w:jc w:val="center"/>
              <w:rPr>
                <w:rFonts w:ascii="Arial" w:hAnsi="Arial" w:cs="Arial"/>
                <w:b/>
                <w:bCs/>
              </w:rPr>
            </w:pPr>
            <w:r w:rsidRPr="001F0115">
              <w:rPr>
                <w:rFonts w:ascii="Arial" w:hAnsi="Arial" w:cs="Arial"/>
                <w:b/>
                <w:bCs/>
              </w:rPr>
              <w:t>Ma</w:t>
            </w:r>
            <w:r w:rsidR="00CD29A2" w:rsidRPr="001F0115">
              <w:rPr>
                <w:rFonts w:ascii="Arial" w:hAnsi="Arial" w:cs="Arial"/>
                <w:b/>
                <w:bCs/>
              </w:rPr>
              <w:t>rch</w:t>
            </w:r>
            <w:r w:rsidR="00FE4170" w:rsidRPr="001F0115">
              <w:rPr>
                <w:rFonts w:ascii="Arial" w:hAnsi="Arial" w:cs="Arial"/>
                <w:b/>
                <w:bCs/>
              </w:rPr>
              <w:t xml:space="preserve"> </w:t>
            </w:r>
            <w:r w:rsidRPr="001F0115">
              <w:rPr>
                <w:rFonts w:ascii="Arial" w:hAnsi="Arial" w:cs="Arial"/>
                <w:b/>
                <w:bCs/>
              </w:rPr>
              <w:t>1</w:t>
            </w:r>
            <w:r w:rsidR="00CD29A2" w:rsidRPr="001F0115">
              <w:rPr>
                <w:rFonts w:ascii="Arial" w:hAnsi="Arial" w:cs="Arial"/>
                <w:b/>
                <w:bCs/>
              </w:rPr>
              <w:t>2</w:t>
            </w:r>
            <w:r w:rsidR="00FE4170" w:rsidRPr="001F0115">
              <w:rPr>
                <w:rFonts w:ascii="Arial" w:hAnsi="Arial" w:cs="Arial"/>
                <w:b/>
                <w:bCs/>
              </w:rPr>
              <w:t>, 202</w:t>
            </w:r>
            <w:r w:rsidR="00CD29A2" w:rsidRPr="001F0115">
              <w:rPr>
                <w:rFonts w:ascii="Arial" w:hAnsi="Arial" w:cs="Arial"/>
                <w:b/>
                <w:bCs/>
              </w:rPr>
              <w:t>5</w:t>
            </w:r>
          </w:p>
          <w:p w14:paraId="517E545C" w14:textId="77777777" w:rsidR="00C55C1D" w:rsidRPr="001F0115" w:rsidRDefault="00C55C1D" w:rsidP="00A13968">
            <w:pPr>
              <w:jc w:val="center"/>
              <w:rPr>
                <w:rFonts w:ascii="Arial" w:hAnsi="Arial" w:cs="Arial"/>
              </w:rPr>
            </w:pPr>
          </w:p>
          <w:p w14:paraId="6FDF37D6" w14:textId="3D8C7C03" w:rsidR="00C55C1D" w:rsidRPr="001F0115" w:rsidRDefault="00C55C1D" w:rsidP="00E25A84">
            <w:pPr>
              <w:jc w:val="center"/>
              <w:rPr>
                <w:rFonts w:ascii="Arial" w:hAnsi="Arial" w:cs="Arial"/>
              </w:rPr>
            </w:pPr>
          </w:p>
        </w:tc>
      </w:tr>
      <w:tr w:rsidR="00FF75B8" w:rsidRPr="00C64126" w14:paraId="5C02DC34" w14:textId="77777777" w:rsidTr="00E25A84">
        <w:tc>
          <w:tcPr>
            <w:tcW w:w="895" w:type="dxa"/>
          </w:tcPr>
          <w:p w14:paraId="58EB06BF" w14:textId="77777777" w:rsidR="00FF75B8" w:rsidRPr="001F0115" w:rsidRDefault="00FF75B8" w:rsidP="00410E8F">
            <w:pPr>
              <w:jc w:val="center"/>
              <w:rPr>
                <w:rFonts w:ascii="Arial" w:hAnsi="Arial" w:cs="Arial"/>
              </w:rPr>
            </w:pPr>
          </w:p>
        </w:tc>
        <w:tc>
          <w:tcPr>
            <w:tcW w:w="6750" w:type="dxa"/>
          </w:tcPr>
          <w:p w14:paraId="4B6EBF5A" w14:textId="107790B6" w:rsidR="00FF75B8" w:rsidRPr="001F0115" w:rsidRDefault="00FF75B8" w:rsidP="00E25A84">
            <w:pPr>
              <w:jc w:val="center"/>
              <w:rPr>
                <w:rFonts w:ascii="Arial" w:hAnsi="Arial" w:cs="Arial"/>
                <w:b/>
                <w:bCs/>
              </w:rPr>
            </w:pPr>
            <w:r w:rsidRPr="001F0115">
              <w:rPr>
                <w:rFonts w:ascii="Arial" w:hAnsi="Arial" w:cs="Arial"/>
                <w:b/>
                <w:bCs/>
              </w:rPr>
              <w:t>Question</w:t>
            </w:r>
          </w:p>
        </w:tc>
        <w:tc>
          <w:tcPr>
            <w:tcW w:w="6660" w:type="dxa"/>
          </w:tcPr>
          <w:p w14:paraId="72AFC419" w14:textId="55F740DD" w:rsidR="00FF75B8" w:rsidRPr="001F0115" w:rsidRDefault="00FF75B8" w:rsidP="00E25A84">
            <w:pPr>
              <w:jc w:val="center"/>
              <w:rPr>
                <w:rFonts w:ascii="Arial" w:hAnsi="Arial" w:cs="Arial"/>
                <w:b/>
                <w:bCs/>
              </w:rPr>
            </w:pPr>
            <w:r w:rsidRPr="001F0115">
              <w:rPr>
                <w:rFonts w:ascii="Arial" w:hAnsi="Arial" w:cs="Arial"/>
                <w:b/>
                <w:bCs/>
              </w:rPr>
              <w:t>Answer</w:t>
            </w:r>
          </w:p>
        </w:tc>
      </w:tr>
      <w:tr w:rsidR="00203843" w:rsidRPr="001F0115" w14:paraId="79113BD0" w14:textId="77777777" w:rsidTr="00EF42DB">
        <w:tc>
          <w:tcPr>
            <w:tcW w:w="895" w:type="dxa"/>
            <w:vAlign w:val="center"/>
          </w:tcPr>
          <w:p w14:paraId="176AFCF4" w14:textId="6813C762" w:rsidR="00203843" w:rsidRPr="00EF42DB" w:rsidRDefault="00203843" w:rsidP="00E25A84">
            <w:pPr>
              <w:pStyle w:val="ListParagraph"/>
              <w:numPr>
                <w:ilvl w:val="0"/>
                <w:numId w:val="16"/>
              </w:numPr>
              <w:jc w:val="right"/>
              <w:rPr>
                <w:rFonts w:ascii="Arial" w:hAnsi="Arial" w:cs="Arial"/>
              </w:rPr>
            </w:pPr>
          </w:p>
        </w:tc>
        <w:tc>
          <w:tcPr>
            <w:tcW w:w="6750" w:type="dxa"/>
            <w:vAlign w:val="center"/>
          </w:tcPr>
          <w:p w14:paraId="4EFC090E" w14:textId="77777777" w:rsidR="00EF42DB" w:rsidRDefault="00EF42DB" w:rsidP="00976850">
            <w:pPr>
              <w:shd w:val="clear" w:color="auto" w:fill="FFFFFF"/>
              <w:rPr>
                <w:rFonts w:ascii="Arial" w:eastAsia="Times New Roman" w:hAnsi="Arial" w:cs="Arial"/>
                <w:color w:val="242424"/>
              </w:rPr>
            </w:pPr>
          </w:p>
          <w:p w14:paraId="4E46D0C3" w14:textId="289DF63B" w:rsidR="00203843" w:rsidRDefault="00976850" w:rsidP="00976850">
            <w:pPr>
              <w:shd w:val="clear" w:color="auto" w:fill="FFFFFF"/>
              <w:rPr>
                <w:rFonts w:ascii="Arial" w:eastAsia="Times New Roman" w:hAnsi="Arial" w:cs="Arial"/>
                <w:color w:val="242424"/>
              </w:rPr>
            </w:pPr>
            <w:r w:rsidRPr="00EF42DB">
              <w:rPr>
                <w:rFonts w:ascii="Arial" w:eastAsia="Times New Roman" w:hAnsi="Arial" w:cs="Arial"/>
                <w:color w:val="242424"/>
              </w:rPr>
              <w:t>What is the name of the incumbent actuary and how long have they been providing services to the Exchange?</w:t>
            </w:r>
          </w:p>
          <w:p w14:paraId="29276806" w14:textId="3CCA389E" w:rsidR="00EF42DB" w:rsidRPr="00EF42DB" w:rsidRDefault="00EF42DB" w:rsidP="00976850">
            <w:pPr>
              <w:shd w:val="clear" w:color="auto" w:fill="FFFFFF"/>
              <w:rPr>
                <w:rFonts w:ascii="Arial" w:eastAsia="Times New Roman" w:hAnsi="Arial" w:cs="Arial"/>
                <w:color w:val="242424"/>
              </w:rPr>
            </w:pPr>
          </w:p>
        </w:tc>
        <w:tc>
          <w:tcPr>
            <w:tcW w:w="6660" w:type="dxa"/>
            <w:vAlign w:val="center"/>
          </w:tcPr>
          <w:p w14:paraId="67CE86AB" w14:textId="2B6ABD6B" w:rsidR="00203843" w:rsidRPr="00EF42DB" w:rsidRDefault="006915FB">
            <w:pPr>
              <w:rPr>
                <w:rFonts w:ascii="Arial" w:hAnsi="Arial" w:cs="Arial"/>
              </w:rPr>
            </w:pPr>
            <w:r w:rsidRPr="00EF42DB">
              <w:rPr>
                <w:rFonts w:ascii="Arial" w:hAnsi="Arial" w:cs="Arial"/>
              </w:rPr>
              <w:t>Wak</w:t>
            </w:r>
            <w:r w:rsidR="002D6C76" w:rsidRPr="00EF42DB">
              <w:rPr>
                <w:rFonts w:ascii="Arial" w:hAnsi="Arial" w:cs="Arial"/>
              </w:rPr>
              <w:t>el</w:t>
            </w:r>
            <w:r w:rsidRPr="00EF42DB">
              <w:rPr>
                <w:rFonts w:ascii="Arial" w:hAnsi="Arial" w:cs="Arial"/>
              </w:rPr>
              <w:t>y Consulting Group, Inc., is the incumbent actuar</w:t>
            </w:r>
            <w:r w:rsidR="003D2607">
              <w:rPr>
                <w:rFonts w:ascii="Arial" w:hAnsi="Arial" w:cs="Arial"/>
              </w:rPr>
              <w:t>ial consultant</w:t>
            </w:r>
            <w:r w:rsidRPr="00EF42DB">
              <w:rPr>
                <w:rFonts w:ascii="Arial" w:hAnsi="Arial" w:cs="Arial"/>
              </w:rPr>
              <w:t xml:space="preserve"> and it has provided services to </w:t>
            </w:r>
            <w:r w:rsidR="002D6C76" w:rsidRPr="00EF42DB">
              <w:rPr>
                <w:rFonts w:ascii="Arial" w:hAnsi="Arial" w:cs="Arial"/>
              </w:rPr>
              <w:t>the Exchange since October 2012.</w:t>
            </w:r>
          </w:p>
        </w:tc>
      </w:tr>
      <w:tr w:rsidR="009B2511" w:rsidRPr="001F0115" w14:paraId="1FF22E3C" w14:textId="77777777" w:rsidTr="00EF42DB">
        <w:tc>
          <w:tcPr>
            <w:tcW w:w="895" w:type="dxa"/>
            <w:vAlign w:val="center"/>
          </w:tcPr>
          <w:p w14:paraId="253097C5" w14:textId="58D4D775" w:rsidR="009B2511" w:rsidRPr="00EF42DB" w:rsidRDefault="009B2511" w:rsidP="00E25A84">
            <w:pPr>
              <w:pStyle w:val="ListParagraph"/>
              <w:numPr>
                <w:ilvl w:val="0"/>
                <w:numId w:val="16"/>
              </w:numPr>
              <w:jc w:val="center"/>
              <w:rPr>
                <w:rFonts w:ascii="Arial" w:hAnsi="Arial" w:cs="Arial"/>
              </w:rPr>
            </w:pPr>
          </w:p>
        </w:tc>
        <w:tc>
          <w:tcPr>
            <w:tcW w:w="6750" w:type="dxa"/>
            <w:vAlign w:val="center"/>
          </w:tcPr>
          <w:p w14:paraId="7C7F1901" w14:textId="1DD2D88C" w:rsidR="009B2511" w:rsidRPr="00EF42DB" w:rsidRDefault="00976850" w:rsidP="00976850">
            <w:pPr>
              <w:shd w:val="clear" w:color="auto" w:fill="FFFFFF"/>
              <w:rPr>
                <w:rFonts w:ascii="Arial" w:eastAsia="Times New Roman" w:hAnsi="Arial" w:cs="Arial"/>
                <w:color w:val="242424"/>
              </w:rPr>
            </w:pPr>
            <w:r w:rsidRPr="00EF42DB">
              <w:rPr>
                <w:rFonts w:ascii="Arial" w:eastAsia="Times New Roman" w:hAnsi="Arial" w:cs="Arial"/>
                <w:color w:val="242424"/>
              </w:rPr>
              <w:t>What are the prior fees that the Exchange paid to the incumbent actuarial firm, broken down by project types as listed in the RFP in Section 2: Scope of Work?</w:t>
            </w:r>
          </w:p>
        </w:tc>
        <w:tc>
          <w:tcPr>
            <w:tcW w:w="6660" w:type="dxa"/>
            <w:vAlign w:val="center"/>
          </w:tcPr>
          <w:p w14:paraId="7368E3E8" w14:textId="77777777" w:rsidR="00EF42DB" w:rsidRDefault="00EF42DB">
            <w:pPr>
              <w:rPr>
                <w:rFonts w:ascii="Arial" w:hAnsi="Arial" w:cs="Arial"/>
              </w:rPr>
            </w:pPr>
          </w:p>
          <w:p w14:paraId="1F89B002" w14:textId="35F42CD6" w:rsidR="009B2511" w:rsidRPr="00EF42DB" w:rsidRDefault="00651600">
            <w:pPr>
              <w:rPr>
                <w:rFonts w:ascii="Arial" w:hAnsi="Arial" w:cs="Arial"/>
              </w:rPr>
            </w:pPr>
            <w:r w:rsidRPr="00EF42DB">
              <w:rPr>
                <w:rFonts w:ascii="Arial" w:hAnsi="Arial" w:cs="Arial"/>
              </w:rPr>
              <w:t>For fiscal year 2024 (July 1, 2023 – June 30, 2024), the Exchange</w:t>
            </w:r>
            <w:r w:rsidR="00E24DBB" w:rsidRPr="00EF42DB">
              <w:rPr>
                <w:rFonts w:ascii="Arial" w:hAnsi="Arial" w:cs="Arial"/>
              </w:rPr>
              <w:t xml:space="preserve"> executed separate Statements of Work under its Independent Contractor Agreement with </w:t>
            </w:r>
            <w:r w:rsidRPr="00EF42DB">
              <w:rPr>
                <w:rFonts w:ascii="Arial" w:hAnsi="Arial" w:cs="Arial"/>
              </w:rPr>
              <w:t>Wakely Consulting Group, Inc.</w:t>
            </w:r>
            <w:r w:rsidR="00E24DBB" w:rsidRPr="00EF42DB">
              <w:rPr>
                <w:rFonts w:ascii="Arial" w:hAnsi="Arial" w:cs="Arial"/>
              </w:rPr>
              <w:t xml:space="preserve"> (Wakely)</w:t>
            </w:r>
            <w:r w:rsidRPr="00EF42DB">
              <w:rPr>
                <w:rFonts w:ascii="Arial" w:hAnsi="Arial" w:cs="Arial"/>
              </w:rPr>
              <w:t xml:space="preserve"> </w:t>
            </w:r>
            <w:r w:rsidR="00E24DBB" w:rsidRPr="00EF42DB">
              <w:rPr>
                <w:rFonts w:ascii="Arial" w:hAnsi="Arial" w:cs="Arial"/>
              </w:rPr>
              <w:t xml:space="preserve">with the following not-to-exceed amounts payable to Wakely for completion of each project:  </w:t>
            </w:r>
          </w:p>
          <w:p w14:paraId="5592B225" w14:textId="77777777" w:rsidR="00651600" w:rsidRPr="00EF42DB" w:rsidRDefault="00651600">
            <w:pPr>
              <w:rPr>
                <w:rFonts w:ascii="Arial" w:hAnsi="Arial" w:cs="Arial"/>
              </w:rPr>
            </w:pPr>
          </w:p>
          <w:p w14:paraId="7AE2A637" w14:textId="129EDC0D" w:rsidR="00651600" w:rsidRPr="00EF42DB" w:rsidRDefault="00651600" w:rsidP="00651600">
            <w:pPr>
              <w:pStyle w:val="ListParagraph"/>
              <w:numPr>
                <w:ilvl w:val="0"/>
                <w:numId w:val="23"/>
              </w:numPr>
              <w:rPr>
                <w:rFonts w:ascii="Arial" w:hAnsi="Arial" w:cs="Arial"/>
              </w:rPr>
            </w:pPr>
            <w:r w:rsidRPr="00EF42DB">
              <w:rPr>
                <w:rFonts w:ascii="Arial" w:hAnsi="Arial" w:cs="Arial"/>
              </w:rPr>
              <w:t>Standard Plan Design Development and Actuarial Value Certification: $</w:t>
            </w:r>
            <w:r w:rsidR="00E24DBB" w:rsidRPr="00EF42DB">
              <w:rPr>
                <w:rFonts w:ascii="Arial" w:hAnsi="Arial" w:cs="Arial"/>
              </w:rPr>
              <w:t xml:space="preserve"> 45,000.00</w:t>
            </w:r>
          </w:p>
          <w:p w14:paraId="515ECF26" w14:textId="45B78A36" w:rsidR="00651600" w:rsidRPr="00EF42DB" w:rsidRDefault="00651600" w:rsidP="00651600">
            <w:pPr>
              <w:pStyle w:val="ListParagraph"/>
              <w:numPr>
                <w:ilvl w:val="0"/>
                <w:numId w:val="23"/>
              </w:numPr>
              <w:rPr>
                <w:rFonts w:ascii="Arial" w:hAnsi="Arial" w:cs="Arial"/>
              </w:rPr>
            </w:pPr>
            <w:r w:rsidRPr="00EF42DB">
              <w:rPr>
                <w:rFonts w:ascii="Arial" w:hAnsi="Arial" w:cs="Arial"/>
              </w:rPr>
              <w:t>Rate Review and Consumer Impact Study: $45,000.00</w:t>
            </w:r>
          </w:p>
          <w:p w14:paraId="3EB18161" w14:textId="1A8CB0B3" w:rsidR="00651600" w:rsidRPr="00EF42DB" w:rsidRDefault="00651600" w:rsidP="00651600">
            <w:pPr>
              <w:pStyle w:val="ListParagraph"/>
              <w:numPr>
                <w:ilvl w:val="0"/>
                <w:numId w:val="23"/>
              </w:numPr>
              <w:rPr>
                <w:rFonts w:ascii="Arial" w:hAnsi="Arial" w:cs="Arial"/>
              </w:rPr>
            </w:pPr>
            <w:r w:rsidRPr="00EF42DB">
              <w:rPr>
                <w:rFonts w:ascii="Arial" w:hAnsi="Arial" w:cs="Arial"/>
              </w:rPr>
              <w:t>Adverse Selection Study:  $ 22,500.00</w:t>
            </w:r>
          </w:p>
          <w:p w14:paraId="5E0AD5EB" w14:textId="6D4D50C0" w:rsidR="00651600" w:rsidRPr="00EF42DB" w:rsidRDefault="00651600" w:rsidP="00651600">
            <w:pPr>
              <w:pStyle w:val="ListParagraph"/>
              <w:numPr>
                <w:ilvl w:val="0"/>
                <w:numId w:val="23"/>
              </w:numPr>
              <w:rPr>
                <w:rFonts w:ascii="Arial" w:hAnsi="Arial" w:cs="Arial"/>
              </w:rPr>
            </w:pPr>
            <w:r w:rsidRPr="00EF42DB">
              <w:rPr>
                <w:rFonts w:ascii="Arial" w:hAnsi="Arial" w:cs="Arial"/>
              </w:rPr>
              <w:t xml:space="preserve">Ad Hoc (including </w:t>
            </w:r>
            <w:r w:rsidR="00E24DBB" w:rsidRPr="00EF42DB">
              <w:rPr>
                <w:rFonts w:ascii="Arial" w:hAnsi="Arial" w:cs="Arial"/>
              </w:rPr>
              <w:t>Bronze Reasonable Copay Analysis): $10,000.00</w:t>
            </w:r>
          </w:p>
          <w:p w14:paraId="32EF4336" w14:textId="251269A7" w:rsidR="00651600" w:rsidRPr="00EF42DB" w:rsidRDefault="00651600">
            <w:pPr>
              <w:rPr>
                <w:rFonts w:ascii="Arial" w:hAnsi="Arial" w:cs="Arial"/>
              </w:rPr>
            </w:pPr>
          </w:p>
        </w:tc>
      </w:tr>
      <w:tr w:rsidR="00914A72" w:rsidRPr="001F0115" w14:paraId="20B1A86C" w14:textId="77777777" w:rsidTr="00EF42DB">
        <w:tc>
          <w:tcPr>
            <w:tcW w:w="895" w:type="dxa"/>
            <w:vAlign w:val="center"/>
          </w:tcPr>
          <w:p w14:paraId="13E18CE8" w14:textId="77777777" w:rsidR="00914A72" w:rsidRPr="00EF42DB" w:rsidRDefault="00914A72" w:rsidP="00E25A84">
            <w:pPr>
              <w:pStyle w:val="ListParagraph"/>
              <w:numPr>
                <w:ilvl w:val="0"/>
                <w:numId w:val="16"/>
              </w:numPr>
              <w:jc w:val="center"/>
              <w:rPr>
                <w:rFonts w:ascii="Arial" w:hAnsi="Arial" w:cs="Arial"/>
              </w:rPr>
            </w:pPr>
          </w:p>
        </w:tc>
        <w:tc>
          <w:tcPr>
            <w:tcW w:w="6750" w:type="dxa"/>
            <w:vAlign w:val="center"/>
          </w:tcPr>
          <w:p w14:paraId="7BDC1D4B" w14:textId="77777777" w:rsidR="00EF42DB" w:rsidRDefault="00EF42DB" w:rsidP="00976850">
            <w:pPr>
              <w:rPr>
                <w:rFonts w:ascii="Arial" w:eastAsia="Times New Roman" w:hAnsi="Arial" w:cs="Arial"/>
              </w:rPr>
            </w:pPr>
          </w:p>
          <w:p w14:paraId="6D7FFD39" w14:textId="19FC3724" w:rsidR="00976850" w:rsidRPr="00EF42DB" w:rsidRDefault="00976850" w:rsidP="00976850">
            <w:pPr>
              <w:rPr>
                <w:rFonts w:ascii="Arial" w:eastAsia="Times New Roman" w:hAnsi="Arial" w:cs="Arial"/>
              </w:rPr>
            </w:pPr>
            <w:r w:rsidRPr="00EF42DB">
              <w:rPr>
                <w:rFonts w:ascii="Arial" w:eastAsia="Times New Roman" w:hAnsi="Arial" w:cs="Arial"/>
              </w:rPr>
              <w:t xml:space="preserve">Is there an incumbent for this work? And if so: </w:t>
            </w:r>
          </w:p>
          <w:p w14:paraId="62225C88" w14:textId="77777777" w:rsidR="00976850" w:rsidRPr="00EF42DB" w:rsidRDefault="00976850" w:rsidP="00976850">
            <w:pPr>
              <w:pStyle w:val="ListParagraph"/>
              <w:numPr>
                <w:ilvl w:val="1"/>
                <w:numId w:val="16"/>
              </w:numPr>
              <w:contextualSpacing w:val="0"/>
              <w:rPr>
                <w:rFonts w:ascii="Arial" w:eastAsia="Times New Roman" w:hAnsi="Arial" w:cs="Arial"/>
              </w:rPr>
            </w:pPr>
            <w:r w:rsidRPr="00EF42DB">
              <w:rPr>
                <w:rFonts w:ascii="Arial" w:eastAsia="Times New Roman" w:hAnsi="Arial" w:cs="Arial"/>
              </w:rPr>
              <w:t xml:space="preserve">Which firm is the incumbent? </w:t>
            </w:r>
          </w:p>
          <w:p w14:paraId="5B44ABBD" w14:textId="77777777" w:rsidR="00976850" w:rsidRPr="00EF42DB" w:rsidRDefault="00976850" w:rsidP="00976850">
            <w:pPr>
              <w:pStyle w:val="ListParagraph"/>
              <w:numPr>
                <w:ilvl w:val="1"/>
                <w:numId w:val="16"/>
              </w:numPr>
              <w:contextualSpacing w:val="0"/>
              <w:rPr>
                <w:rFonts w:ascii="Arial" w:eastAsia="Times New Roman" w:hAnsi="Arial" w:cs="Arial"/>
              </w:rPr>
            </w:pPr>
            <w:r w:rsidRPr="00EF42DB">
              <w:rPr>
                <w:rFonts w:ascii="Arial" w:eastAsia="Times New Roman" w:hAnsi="Arial" w:cs="Arial"/>
              </w:rPr>
              <w:t>Can the Exchange share the annual value of the current contract?</w:t>
            </w:r>
          </w:p>
          <w:p w14:paraId="4EE75D33" w14:textId="1BFFEDC7" w:rsidR="00914A72" w:rsidRPr="00EF42DB" w:rsidRDefault="00914A72" w:rsidP="00C64126">
            <w:pPr>
              <w:rPr>
                <w:rFonts w:ascii="Arial" w:hAnsi="Arial" w:cs="Arial"/>
              </w:rPr>
            </w:pPr>
          </w:p>
        </w:tc>
        <w:tc>
          <w:tcPr>
            <w:tcW w:w="6660" w:type="dxa"/>
            <w:vAlign w:val="center"/>
          </w:tcPr>
          <w:p w14:paraId="1CEF3ADB" w14:textId="0127408E" w:rsidR="00976850" w:rsidRPr="00EF42DB" w:rsidRDefault="00E24DBB" w:rsidP="00DD70ED">
            <w:pPr>
              <w:rPr>
                <w:rFonts w:ascii="Arial" w:hAnsi="Arial" w:cs="Arial"/>
              </w:rPr>
            </w:pPr>
            <w:r w:rsidRPr="00EF42DB">
              <w:rPr>
                <w:rFonts w:ascii="Arial" w:hAnsi="Arial" w:cs="Arial"/>
              </w:rPr>
              <w:t>Please see answers to #1 and #2.</w:t>
            </w:r>
          </w:p>
        </w:tc>
      </w:tr>
      <w:tr w:rsidR="00976850" w:rsidRPr="001F0115" w14:paraId="2C9CC9F0" w14:textId="77777777" w:rsidTr="00EF42DB">
        <w:tc>
          <w:tcPr>
            <w:tcW w:w="895" w:type="dxa"/>
            <w:vAlign w:val="center"/>
          </w:tcPr>
          <w:p w14:paraId="2E8ABB27" w14:textId="77777777" w:rsidR="00976850" w:rsidRPr="00EF42DB" w:rsidRDefault="00976850" w:rsidP="00E25A84">
            <w:pPr>
              <w:pStyle w:val="ListParagraph"/>
              <w:numPr>
                <w:ilvl w:val="0"/>
                <w:numId w:val="16"/>
              </w:numPr>
              <w:jc w:val="center"/>
              <w:rPr>
                <w:rFonts w:ascii="Arial" w:hAnsi="Arial" w:cs="Arial"/>
              </w:rPr>
            </w:pPr>
          </w:p>
        </w:tc>
        <w:tc>
          <w:tcPr>
            <w:tcW w:w="6750" w:type="dxa"/>
            <w:vAlign w:val="center"/>
          </w:tcPr>
          <w:p w14:paraId="6CC38326" w14:textId="77777777" w:rsidR="00EF42DB" w:rsidRDefault="00EF42DB" w:rsidP="00976850">
            <w:pPr>
              <w:rPr>
                <w:rFonts w:ascii="Arial" w:eastAsia="Times New Roman" w:hAnsi="Arial" w:cs="Arial"/>
              </w:rPr>
            </w:pPr>
          </w:p>
          <w:p w14:paraId="24A6A5FF" w14:textId="465CAF72" w:rsidR="00976850" w:rsidRDefault="00976850" w:rsidP="00976850">
            <w:pPr>
              <w:rPr>
                <w:rFonts w:ascii="Arial" w:eastAsia="Times New Roman" w:hAnsi="Arial" w:cs="Arial"/>
              </w:rPr>
            </w:pPr>
            <w:r w:rsidRPr="00EF42DB">
              <w:rPr>
                <w:rFonts w:ascii="Arial" w:eastAsia="Times New Roman" w:hAnsi="Arial" w:cs="Arial"/>
              </w:rPr>
              <w:t>Does the Exchange have an estimated annual budget or pricing benchmark for these services?</w:t>
            </w:r>
          </w:p>
          <w:p w14:paraId="1B3A903A" w14:textId="41318D27" w:rsidR="00EF42DB" w:rsidRPr="00EF42DB" w:rsidRDefault="00EF42DB" w:rsidP="00976850">
            <w:pPr>
              <w:rPr>
                <w:rFonts w:ascii="Arial" w:eastAsia="Times New Roman" w:hAnsi="Arial" w:cs="Arial"/>
              </w:rPr>
            </w:pPr>
          </w:p>
        </w:tc>
        <w:tc>
          <w:tcPr>
            <w:tcW w:w="6660" w:type="dxa"/>
            <w:vAlign w:val="center"/>
          </w:tcPr>
          <w:p w14:paraId="30BBB85E" w14:textId="0B31AB15" w:rsidR="00976850" w:rsidRPr="00EF42DB" w:rsidRDefault="00E24DBB">
            <w:pPr>
              <w:rPr>
                <w:rFonts w:ascii="Arial" w:hAnsi="Arial" w:cs="Arial"/>
              </w:rPr>
            </w:pPr>
            <w:r w:rsidRPr="00EF42DB">
              <w:rPr>
                <w:rFonts w:ascii="Arial" w:hAnsi="Arial" w:cs="Arial"/>
              </w:rPr>
              <w:t>Please see answer to #2.</w:t>
            </w:r>
          </w:p>
        </w:tc>
      </w:tr>
      <w:tr w:rsidR="00976850" w:rsidRPr="001F0115" w14:paraId="37097B51" w14:textId="77777777" w:rsidTr="003D2607">
        <w:trPr>
          <w:cantSplit/>
        </w:trPr>
        <w:tc>
          <w:tcPr>
            <w:tcW w:w="895" w:type="dxa"/>
            <w:vAlign w:val="center"/>
          </w:tcPr>
          <w:p w14:paraId="63703876" w14:textId="77777777" w:rsidR="00976850" w:rsidRPr="00EF42DB" w:rsidRDefault="00976850" w:rsidP="00E25A84">
            <w:pPr>
              <w:pStyle w:val="ListParagraph"/>
              <w:numPr>
                <w:ilvl w:val="0"/>
                <w:numId w:val="16"/>
              </w:numPr>
              <w:jc w:val="center"/>
              <w:rPr>
                <w:rFonts w:ascii="Arial" w:hAnsi="Arial" w:cs="Arial"/>
              </w:rPr>
            </w:pPr>
          </w:p>
        </w:tc>
        <w:tc>
          <w:tcPr>
            <w:tcW w:w="6750" w:type="dxa"/>
            <w:vAlign w:val="center"/>
          </w:tcPr>
          <w:p w14:paraId="6332FC94" w14:textId="03A08D33" w:rsidR="00976850" w:rsidRPr="00EF42DB" w:rsidRDefault="00976850" w:rsidP="00976850">
            <w:pPr>
              <w:rPr>
                <w:rFonts w:ascii="Arial" w:eastAsia="Times New Roman" w:hAnsi="Arial" w:cs="Arial"/>
              </w:rPr>
            </w:pPr>
            <w:r w:rsidRPr="00EF42DB">
              <w:rPr>
                <w:rFonts w:ascii="Arial" w:eastAsia="Times New Roman" w:hAnsi="Arial" w:cs="Arial"/>
              </w:rPr>
              <w:t>How many Federal AV calculations and certifications are expected each year?</w:t>
            </w:r>
          </w:p>
        </w:tc>
        <w:tc>
          <w:tcPr>
            <w:tcW w:w="6660" w:type="dxa"/>
            <w:vAlign w:val="center"/>
          </w:tcPr>
          <w:p w14:paraId="25169BF7" w14:textId="77777777" w:rsidR="003D2607" w:rsidRDefault="003D2607">
            <w:pPr>
              <w:rPr>
                <w:rFonts w:ascii="Arial" w:hAnsi="Arial" w:cs="Arial"/>
              </w:rPr>
            </w:pPr>
          </w:p>
          <w:p w14:paraId="7A1C1DD8" w14:textId="78889D00" w:rsidR="00976850" w:rsidRDefault="00EF42DB">
            <w:pPr>
              <w:rPr>
                <w:rFonts w:ascii="Arial" w:hAnsi="Arial" w:cs="Arial"/>
              </w:rPr>
            </w:pPr>
            <w:r w:rsidRPr="00EF42DB">
              <w:rPr>
                <w:rFonts w:ascii="Arial" w:hAnsi="Arial" w:cs="Arial"/>
              </w:rPr>
              <w:t>The Exchange’s a</w:t>
            </w:r>
            <w:r w:rsidR="00A9081F" w:rsidRPr="00EF42DB">
              <w:rPr>
                <w:rFonts w:ascii="Arial" w:hAnsi="Arial" w:cs="Arial"/>
              </w:rPr>
              <w:t xml:space="preserve">ctuarial </w:t>
            </w:r>
            <w:r w:rsidRPr="00EF42DB">
              <w:rPr>
                <w:rFonts w:ascii="Arial" w:hAnsi="Arial" w:cs="Arial"/>
              </w:rPr>
              <w:t>c</w:t>
            </w:r>
            <w:r w:rsidR="00A9081F" w:rsidRPr="00EF42DB">
              <w:rPr>
                <w:rFonts w:ascii="Arial" w:hAnsi="Arial" w:cs="Arial"/>
              </w:rPr>
              <w:t>onsultant completes an</w:t>
            </w:r>
            <w:r w:rsidR="00432567" w:rsidRPr="00EF42DB">
              <w:rPr>
                <w:rFonts w:ascii="Arial" w:hAnsi="Arial" w:cs="Arial"/>
              </w:rPr>
              <w:t xml:space="preserve"> annual </w:t>
            </w:r>
            <w:r w:rsidR="00A9081F" w:rsidRPr="00EF42DB">
              <w:rPr>
                <w:rFonts w:ascii="Arial" w:hAnsi="Arial" w:cs="Arial"/>
              </w:rPr>
              <w:t>review of all current standardized plans, 7 in total, using new actuarial value calculator, determining if plan changes are required for upcoming plan</w:t>
            </w:r>
            <w:r w:rsidR="00795A2D">
              <w:rPr>
                <w:rFonts w:ascii="Arial" w:hAnsi="Arial" w:cs="Arial"/>
              </w:rPr>
              <w:t xml:space="preserve"> year </w:t>
            </w:r>
            <w:r w:rsidR="0044729D" w:rsidRPr="00EF42DB">
              <w:rPr>
                <w:rFonts w:ascii="Arial" w:hAnsi="Arial" w:cs="Arial"/>
              </w:rPr>
              <w:t>compliance.</w:t>
            </w:r>
            <w:r w:rsidR="00432567" w:rsidRPr="00EF42DB">
              <w:rPr>
                <w:rFonts w:ascii="Arial" w:hAnsi="Arial" w:cs="Arial"/>
              </w:rPr>
              <w:t xml:space="preserve"> </w:t>
            </w:r>
            <w:r w:rsidRPr="00EF42DB">
              <w:rPr>
                <w:rFonts w:ascii="Arial" w:hAnsi="Arial" w:cs="Arial"/>
              </w:rPr>
              <w:t>The a</w:t>
            </w:r>
            <w:r w:rsidR="00E3128E" w:rsidRPr="00EF42DB">
              <w:rPr>
                <w:rFonts w:ascii="Arial" w:hAnsi="Arial" w:cs="Arial"/>
              </w:rPr>
              <w:t xml:space="preserve">ctuarial </w:t>
            </w:r>
            <w:r w:rsidRPr="00EF42DB">
              <w:rPr>
                <w:rFonts w:ascii="Arial" w:hAnsi="Arial" w:cs="Arial"/>
              </w:rPr>
              <w:t>c</w:t>
            </w:r>
            <w:r w:rsidR="00E3128E" w:rsidRPr="00EF42DB">
              <w:rPr>
                <w:rFonts w:ascii="Arial" w:hAnsi="Arial" w:cs="Arial"/>
              </w:rPr>
              <w:t xml:space="preserve">onsultant </w:t>
            </w:r>
            <w:r w:rsidR="00432567" w:rsidRPr="00EF42DB">
              <w:rPr>
                <w:rFonts w:ascii="Arial" w:hAnsi="Arial" w:cs="Arial"/>
              </w:rPr>
              <w:t>is not responsible for the actual certification of plans.</w:t>
            </w:r>
            <w:r w:rsidR="00B11817" w:rsidRPr="00EF42DB">
              <w:rPr>
                <w:rFonts w:ascii="Arial" w:hAnsi="Arial" w:cs="Arial"/>
              </w:rPr>
              <w:t xml:space="preserve"> </w:t>
            </w:r>
          </w:p>
          <w:p w14:paraId="3610A151" w14:textId="4A15AD95" w:rsidR="00EF42DB" w:rsidRPr="00EF42DB" w:rsidRDefault="00EF42DB">
            <w:pPr>
              <w:rPr>
                <w:rFonts w:ascii="Arial" w:hAnsi="Arial" w:cs="Arial"/>
              </w:rPr>
            </w:pPr>
          </w:p>
        </w:tc>
      </w:tr>
      <w:tr w:rsidR="00976850" w:rsidRPr="001F0115" w14:paraId="17008246" w14:textId="77777777" w:rsidTr="00EF42DB">
        <w:tc>
          <w:tcPr>
            <w:tcW w:w="895" w:type="dxa"/>
            <w:vAlign w:val="center"/>
          </w:tcPr>
          <w:p w14:paraId="19BEB9D7" w14:textId="77777777" w:rsidR="00976850" w:rsidRPr="00EF42DB" w:rsidRDefault="00976850" w:rsidP="00E25A84">
            <w:pPr>
              <w:pStyle w:val="ListParagraph"/>
              <w:numPr>
                <w:ilvl w:val="0"/>
                <w:numId w:val="16"/>
              </w:numPr>
              <w:jc w:val="center"/>
              <w:rPr>
                <w:rFonts w:ascii="Arial" w:hAnsi="Arial" w:cs="Arial"/>
              </w:rPr>
            </w:pPr>
          </w:p>
        </w:tc>
        <w:tc>
          <w:tcPr>
            <w:tcW w:w="6750" w:type="dxa"/>
            <w:vAlign w:val="center"/>
          </w:tcPr>
          <w:p w14:paraId="51D9007A" w14:textId="77777777" w:rsidR="003D2607" w:rsidRDefault="003D2607" w:rsidP="00976850">
            <w:pPr>
              <w:rPr>
                <w:rFonts w:ascii="Arial" w:eastAsia="Times New Roman" w:hAnsi="Arial" w:cs="Arial"/>
              </w:rPr>
            </w:pPr>
          </w:p>
          <w:p w14:paraId="793CF83C" w14:textId="2E140A39" w:rsidR="00976850" w:rsidRDefault="00976850" w:rsidP="00976850">
            <w:pPr>
              <w:rPr>
                <w:rFonts w:ascii="Arial" w:eastAsia="Times New Roman" w:hAnsi="Arial" w:cs="Arial"/>
              </w:rPr>
            </w:pPr>
            <w:r w:rsidRPr="00EF42DB">
              <w:rPr>
                <w:rFonts w:ascii="Arial" w:eastAsia="Times New Roman" w:hAnsi="Arial" w:cs="Arial"/>
              </w:rPr>
              <w:t>How many rate reviews does the Exchange expect per year?</w:t>
            </w:r>
          </w:p>
          <w:p w14:paraId="44EC23BA" w14:textId="0C274AEB" w:rsidR="00EF42DB" w:rsidRPr="00EF42DB" w:rsidRDefault="00EF42DB" w:rsidP="00976850">
            <w:pPr>
              <w:rPr>
                <w:rFonts w:ascii="Arial" w:eastAsia="Times New Roman" w:hAnsi="Arial" w:cs="Arial"/>
              </w:rPr>
            </w:pPr>
          </w:p>
        </w:tc>
        <w:tc>
          <w:tcPr>
            <w:tcW w:w="6660" w:type="dxa"/>
            <w:vAlign w:val="center"/>
          </w:tcPr>
          <w:p w14:paraId="3223805F" w14:textId="516F078B" w:rsidR="00976850" w:rsidRPr="00EF42DB" w:rsidRDefault="00A9081F">
            <w:pPr>
              <w:rPr>
                <w:rFonts w:ascii="Arial" w:hAnsi="Arial" w:cs="Arial"/>
              </w:rPr>
            </w:pPr>
            <w:r w:rsidRPr="00EF42DB">
              <w:rPr>
                <w:rFonts w:ascii="Arial" w:hAnsi="Arial" w:cs="Arial"/>
              </w:rPr>
              <w:t>Once</w:t>
            </w:r>
            <w:r w:rsidR="0044729D" w:rsidRPr="00EF42DB">
              <w:rPr>
                <w:rFonts w:ascii="Arial" w:hAnsi="Arial" w:cs="Arial"/>
              </w:rPr>
              <w:t>, annually.</w:t>
            </w:r>
          </w:p>
        </w:tc>
      </w:tr>
      <w:tr w:rsidR="00976850" w:rsidRPr="001F0115" w14:paraId="40B681CE" w14:textId="77777777" w:rsidTr="00EF42DB">
        <w:tc>
          <w:tcPr>
            <w:tcW w:w="895" w:type="dxa"/>
            <w:vAlign w:val="center"/>
          </w:tcPr>
          <w:p w14:paraId="0CAED4D2" w14:textId="77777777" w:rsidR="00976850" w:rsidRPr="00EF42DB" w:rsidRDefault="00976850" w:rsidP="00E25A84">
            <w:pPr>
              <w:pStyle w:val="ListParagraph"/>
              <w:numPr>
                <w:ilvl w:val="0"/>
                <w:numId w:val="16"/>
              </w:numPr>
              <w:jc w:val="center"/>
              <w:rPr>
                <w:rFonts w:ascii="Arial" w:hAnsi="Arial" w:cs="Arial"/>
              </w:rPr>
            </w:pPr>
          </w:p>
        </w:tc>
        <w:tc>
          <w:tcPr>
            <w:tcW w:w="6750" w:type="dxa"/>
            <w:vAlign w:val="center"/>
          </w:tcPr>
          <w:p w14:paraId="2A272367" w14:textId="7BBFBD81" w:rsidR="00976850" w:rsidRPr="00EF42DB" w:rsidRDefault="00976850" w:rsidP="00976850">
            <w:pPr>
              <w:rPr>
                <w:rFonts w:ascii="Arial" w:eastAsia="Times New Roman" w:hAnsi="Arial" w:cs="Arial"/>
              </w:rPr>
            </w:pPr>
            <w:r w:rsidRPr="00EF42DB">
              <w:rPr>
                <w:rFonts w:ascii="Arial" w:eastAsia="Times New Roman" w:hAnsi="Arial" w:cs="Arial"/>
              </w:rPr>
              <w:t>Is it a typo that the ‘Independent Contractor Agreement’ on page 18 indicates that Wakely Consulting Group is the pre-selected winner of this contract?</w:t>
            </w:r>
          </w:p>
        </w:tc>
        <w:tc>
          <w:tcPr>
            <w:tcW w:w="6660" w:type="dxa"/>
            <w:vAlign w:val="center"/>
          </w:tcPr>
          <w:p w14:paraId="756DA014" w14:textId="77777777" w:rsidR="003D2607" w:rsidRDefault="003D2607">
            <w:pPr>
              <w:rPr>
                <w:rFonts w:ascii="Arial" w:hAnsi="Arial" w:cs="Arial"/>
              </w:rPr>
            </w:pPr>
          </w:p>
          <w:p w14:paraId="6ED2110E" w14:textId="1F80519E" w:rsidR="00976850" w:rsidRDefault="00E24DBB">
            <w:pPr>
              <w:rPr>
                <w:rFonts w:ascii="Arial" w:hAnsi="Arial" w:cs="Arial"/>
              </w:rPr>
            </w:pPr>
            <w:r w:rsidRPr="00EF42DB">
              <w:rPr>
                <w:rFonts w:ascii="Arial" w:hAnsi="Arial" w:cs="Arial"/>
              </w:rPr>
              <w:t>The</w:t>
            </w:r>
            <w:r w:rsidR="001F026D" w:rsidRPr="00EF42DB">
              <w:rPr>
                <w:rFonts w:ascii="Arial" w:hAnsi="Arial" w:cs="Arial"/>
              </w:rPr>
              <w:t xml:space="preserve"> Independent Contractor Agreement</w:t>
            </w:r>
            <w:r w:rsidRPr="00EF42DB">
              <w:rPr>
                <w:rFonts w:ascii="Arial" w:hAnsi="Arial" w:cs="Arial"/>
              </w:rPr>
              <w:t xml:space="preserve"> attached to the RFP as Appendix B is based on the current c</w:t>
            </w:r>
            <w:r w:rsidR="003D2607">
              <w:rPr>
                <w:rFonts w:ascii="Arial" w:hAnsi="Arial" w:cs="Arial"/>
              </w:rPr>
              <w:t>ontract</w:t>
            </w:r>
            <w:r w:rsidRPr="00EF42DB">
              <w:rPr>
                <w:rFonts w:ascii="Arial" w:hAnsi="Arial" w:cs="Arial"/>
              </w:rPr>
              <w:t xml:space="preserve"> with the incumbent, Wakely Consulting Group, Inc</w:t>
            </w:r>
            <w:r w:rsidR="001F026D" w:rsidRPr="00EF42DB">
              <w:rPr>
                <w:rFonts w:ascii="Arial" w:hAnsi="Arial" w:cs="Arial"/>
              </w:rPr>
              <w:t xml:space="preserve">.  </w:t>
            </w:r>
            <w:r w:rsidR="003D2607">
              <w:rPr>
                <w:rFonts w:ascii="Arial" w:hAnsi="Arial" w:cs="Arial"/>
              </w:rPr>
              <w:t>Accordingly, t</w:t>
            </w:r>
            <w:r w:rsidR="001F026D" w:rsidRPr="00EF42DB">
              <w:rPr>
                <w:rFonts w:ascii="Arial" w:hAnsi="Arial" w:cs="Arial"/>
              </w:rPr>
              <w:t>he</w:t>
            </w:r>
            <w:r w:rsidR="00795A2D">
              <w:rPr>
                <w:rFonts w:ascii="Arial" w:hAnsi="Arial" w:cs="Arial"/>
              </w:rPr>
              <w:t xml:space="preserve"> inclusion of the</w:t>
            </w:r>
            <w:r w:rsidR="001F026D" w:rsidRPr="00EF42DB">
              <w:rPr>
                <w:rFonts w:ascii="Arial" w:hAnsi="Arial" w:cs="Arial"/>
              </w:rPr>
              <w:t xml:space="preserve"> reference to “Wakely Consulting Group, Inc,” was inadvertent and has been removed</w:t>
            </w:r>
            <w:r w:rsidR="003D2607">
              <w:rPr>
                <w:rFonts w:ascii="Arial" w:hAnsi="Arial" w:cs="Arial"/>
              </w:rPr>
              <w:t xml:space="preserve"> from the Independent Contractor Agreement</w:t>
            </w:r>
            <w:r w:rsidR="00795A2D">
              <w:rPr>
                <w:rFonts w:ascii="Arial" w:hAnsi="Arial" w:cs="Arial"/>
              </w:rPr>
              <w:t xml:space="preserve"> attached to the RFP.</w:t>
            </w:r>
          </w:p>
          <w:p w14:paraId="3A85F937" w14:textId="19FF6EFA" w:rsidR="00EF42DB" w:rsidRPr="00EF42DB" w:rsidRDefault="00EF42DB">
            <w:pPr>
              <w:rPr>
                <w:rFonts w:ascii="Arial" w:hAnsi="Arial" w:cs="Arial"/>
              </w:rPr>
            </w:pPr>
          </w:p>
        </w:tc>
      </w:tr>
      <w:tr w:rsidR="00976850" w:rsidRPr="001F0115" w14:paraId="060C7E8C" w14:textId="77777777" w:rsidTr="00EF42DB">
        <w:tc>
          <w:tcPr>
            <w:tcW w:w="895" w:type="dxa"/>
            <w:vAlign w:val="center"/>
          </w:tcPr>
          <w:p w14:paraId="696234A5" w14:textId="77777777" w:rsidR="00976850" w:rsidRPr="00EF42DB" w:rsidRDefault="00976850" w:rsidP="00E25A84">
            <w:pPr>
              <w:pStyle w:val="ListParagraph"/>
              <w:numPr>
                <w:ilvl w:val="0"/>
                <w:numId w:val="16"/>
              </w:numPr>
              <w:jc w:val="center"/>
              <w:rPr>
                <w:rFonts w:ascii="Arial" w:hAnsi="Arial" w:cs="Arial"/>
              </w:rPr>
            </w:pPr>
          </w:p>
        </w:tc>
        <w:tc>
          <w:tcPr>
            <w:tcW w:w="6750" w:type="dxa"/>
            <w:vAlign w:val="center"/>
          </w:tcPr>
          <w:p w14:paraId="3A7ECCF0" w14:textId="77777777" w:rsidR="003D2607" w:rsidRDefault="003D2607" w:rsidP="00976850">
            <w:pPr>
              <w:rPr>
                <w:rFonts w:ascii="Arial" w:eastAsia="Times New Roman" w:hAnsi="Arial" w:cs="Arial"/>
              </w:rPr>
            </w:pPr>
          </w:p>
          <w:p w14:paraId="7589F96B" w14:textId="4BF96AB0" w:rsidR="00976850" w:rsidRDefault="00976850" w:rsidP="00976850">
            <w:pPr>
              <w:rPr>
                <w:rFonts w:ascii="Arial" w:eastAsia="Times New Roman" w:hAnsi="Arial" w:cs="Arial"/>
              </w:rPr>
            </w:pPr>
            <w:r w:rsidRPr="00EF42DB">
              <w:rPr>
                <w:rFonts w:ascii="Arial" w:eastAsia="Times New Roman" w:hAnsi="Arial" w:cs="Arial"/>
              </w:rPr>
              <w:t>Does the Exchange require or prefer any in-person meetings? Or should all work, including meetings, be completed remotely/virtually?</w:t>
            </w:r>
          </w:p>
          <w:p w14:paraId="778A98F8" w14:textId="260A768D" w:rsidR="00EF42DB" w:rsidRPr="00EF42DB" w:rsidRDefault="00EF42DB" w:rsidP="00976850">
            <w:pPr>
              <w:rPr>
                <w:rFonts w:ascii="Arial" w:eastAsia="Times New Roman" w:hAnsi="Arial" w:cs="Arial"/>
              </w:rPr>
            </w:pPr>
          </w:p>
        </w:tc>
        <w:tc>
          <w:tcPr>
            <w:tcW w:w="6660" w:type="dxa"/>
            <w:vAlign w:val="center"/>
          </w:tcPr>
          <w:p w14:paraId="1B1B6C0A" w14:textId="7EF3E89D" w:rsidR="00976850" w:rsidRPr="00EF42DB" w:rsidRDefault="00E3128E">
            <w:pPr>
              <w:rPr>
                <w:rFonts w:ascii="Arial" w:hAnsi="Arial" w:cs="Arial"/>
              </w:rPr>
            </w:pPr>
            <w:r w:rsidRPr="00EF42DB">
              <w:rPr>
                <w:rFonts w:ascii="Arial" w:hAnsi="Arial" w:cs="Arial"/>
              </w:rPr>
              <w:t>Unless there is a specific need, meetings are typically remote/virtual.</w:t>
            </w:r>
          </w:p>
        </w:tc>
      </w:tr>
      <w:tr w:rsidR="00A86507" w:rsidRPr="001F0115" w14:paraId="20CE40A0" w14:textId="77777777" w:rsidTr="00EF42DB">
        <w:tc>
          <w:tcPr>
            <w:tcW w:w="895" w:type="dxa"/>
            <w:vAlign w:val="center"/>
          </w:tcPr>
          <w:p w14:paraId="704C46EE" w14:textId="77777777" w:rsidR="00A86507" w:rsidRPr="00EF42DB" w:rsidRDefault="00A86507" w:rsidP="00E25A84">
            <w:pPr>
              <w:pStyle w:val="ListParagraph"/>
              <w:numPr>
                <w:ilvl w:val="0"/>
                <w:numId w:val="16"/>
              </w:numPr>
              <w:jc w:val="center"/>
              <w:rPr>
                <w:rFonts w:ascii="Arial" w:hAnsi="Arial" w:cs="Arial"/>
              </w:rPr>
            </w:pPr>
          </w:p>
        </w:tc>
        <w:tc>
          <w:tcPr>
            <w:tcW w:w="6750" w:type="dxa"/>
            <w:vAlign w:val="center"/>
          </w:tcPr>
          <w:p w14:paraId="228B1034" w14:textId="77777777" w:rsidR="003D2607" w:rsidRDefault="003D2607" w:rsidP="00A86507">
            <w:pPr>
              <w:rPr>
                <w:rFonts w:ascii="Arial" w:eastAsia="Times New Roman" w:hAnsi="Arial" w:cs="Arial"/>
              </w:rPr>
            </w:pPr>
          </w:p>
          <w:p w14:paraId="2ED9AAB8" w14:textId="205CC8AB" w:rsidR="00A86507" w:rsidRDefault="00A86507" w:rsidP="00A86507">
            <w:pPr>
              <w:rPr>
                <w:rFonts w:ascii="Arial" w:eastAsia="Times New Roman" w:hAnsi="Arial" w:cs="Arial"/>
              </w:rPr>
            </w:pPr>
            <w:r w:rsidRPr="00EF42DB">
              <w:rPr>
                <w:rFonts w:ascii="Arial" w:eastAsia="Times New Roman" w:hAnsi="Arial" w:cs="Arial"/>
              </w:rPr>
              <w:t>What is the start date of the engagement?</w:t>
            </w:r>
          </w:p>
          <w:p w14:paraId="394A0D6D" w14:textId="7E56F05D" w:rsidR="00EF42DB" w:rsidRPr="00EF42DB" w:rsidRDefault="00EF42DB" w:rsidP="00A86507">
            <w:pPr>
              <w:rPr>
                <w:rFonts w:ascii="Arial" w:eastAsia="Times New Roman" w:hAnsi="Arial" w:cs="Arial"/>
              </w:rPr>
            </w:pPr>
          </w:p>
        </w:tc>
        <w:tc>
          <w:tcPr>
            <w:tcW w:w="6660" w:type="dxa"/>
            <w:vAlign w:val="center"/>
          </w:tcPr>
          <w:p w14:paraId="68F1D6E7" w14:textId="0DD7DD67" w:rsidR="00A86507" w:rsidRPr="00EF42DB" w:rsidRDefault="00B11817">
            <w:pPr>
              <w:rPr>
                <w:rFonts w:ascii="Arial" w:hAnsi="Arial" w:cs="Arial"/>
              </w:rPr>
            </w:pPr>
            <w:r w:rsidRPr="00EF42DB">
              <w:rPr>
                <w:rFonts w:ascii="Arial" w:hAnsi="Arial" w:cs="Arial"/>
              </w:rPr>
              <w:t>July 1, 2025</w:t>
            </w:r>
          </w:p>
        </w:tc>
      </w:tr>
      <w:tr w:rsidR="00A86507" w:rsidRPr="001F0115" w14:paraId="4252FEAD" w14:textId="77777777" w:rsidTr="00EF42DB">
        <w:tc>
          <w:tcPr>
            <w:tcW w:w="895" w:type="dxa"/>
            <w:vAlign w:val="center"/>
          </w:tcPr>
          <w:p w14:paraId="3EB09D9A" w14:textId="77777777" w:rsidR="00A86507" w:rsidRPr="00EF42DB" w:rsidRDefault="00A86507" w:rsidP="00E25A84">
            <w:pPr>
              <w:pStyle w:val="ListParagraph"/>
              <w:numPr>
                <w:ilvl w:val="0"/>
                <w:numId w:val="16"/>
              </w:numPr>
              <w:jc w:val="center"/>
              <w:rPr>
                <w:rFonts w:ascii="Arial" w:hAnsi="Arial" w:cs="Arial"/>
              </w:rPr>
            </w:pPr>
          </w:p>
        </w:tc>
        <w:tc>
          <w:tcPr>
            <w:tcW w:w="6750" w:type="dxa"/>
            <w:vAlign w:val="center"/>
          </w:tcPr>
          <w:p w14:paraId="189AED29" w14:textId="2EC6BACB" w:rsidR="00A86507" w:rsidRPr="00EF42DB" w:rsidRDefault="00A86507" w:rsidP="00A86507">
            <w:pPr>
              <w:rPr>
                <w:rFonts w:ascii="Arial" w:eastAsia="Times New Roman" w:hAnsi="Arial" w:cs="Arial"/>
              </w:rPr>
            </w:pPr>
            <w:r w:rsidRPr="00EF42DB">
              <w:rPr>
                <w:rFonts w:ascii="Arial" w:eastAsia="Times New Roman" w:hAnsi="Arial" w:cs="Arial"/>
              </w:rPr>
              <w:t>What is the expected work effort of the new contractor for the 2025 rate coverage period? For the 2026 rate coverage period?</w:t>
            </w:r>
          </w:p>
        </w:tc>
        <w:tc>
          <w:tcPr>
            <w:tcW w:w="6660" w:type="dxa"/>
            <w:vAlign w:val="center"/>
          </w:tcPr>
          <w:p w14:paraId="1781AE8B" w14:textId="77777777" w:rsidR="003D2607" w:rsidRDefault="003D2607" w:rsidP="003D2607">
            <w:pPr>
              <w:pStyle w:val="ListParagraph"/>
              <w:rPr>
                <w:rFonts w:ascii="Arial" w:hAnsi="Arial" w:cs="Arial"/>
              </w:rPr>
            </w:pPr>
          </w:p>
          <w:p w14:paraId="3B5DED7B" w14:textId="4F71D0EA" w:rsidR="00FF2157" w:rsidRPr="00EF42DB" w:rsidRDefault="00490B87" w:rsidP="00AD6BE0">
            <w:pPr>
              <w:pStyle w:val="ListParagraph"/>
              <w:numPr>
                <w:ilvl w:val="0"/>
                <w:numId w:val="21"/>
              </w:numPr>
              <w:rPr>
                <w:rFonts w:ascii="Arial" w:hAnsi="Arial" w:cs="Arial"/>
              </w:rPr>
            </w:pPr>
            <w:r>
              <w:rPr>
                <w:rFonts w:ascii="Arial" w:hAnsi="Arial" w:cs="Arial"/>
              </w:rPr>
              <w:t xml:space="preserve">Annual </w:t>
            </w:r>
            <w:r w:rsidR="00FF2157" w:rsidRPr="00EF42DB">
              <w:rPr>
                <w:rFonts w:ascii="Arial" w:hAnsi="Arial" w:cs="Arial"/>
              </w:rPr>
              <w:t xml:space="preserve">Adverse Selection Study (presented in Jan 2026) </w:t>
            </w:r>
            <w:r>
              <w:rPr>
                <w:rFonts w:ascii="Arial" w:hAnsi="Arial" w:cs="Arial"/>
              </w:rPr>
              <w:t xml:space="preserve">Using </w:t>
            </w:r>
            <w:r w:rsidRPr="00EF42DB">
              <w:rPr>
                <w:rFonts w:ascii="Arial" w:hAnsi="Arial" w:cs="Arial"/>
              </w:rPr>
              <w:t xml:space="preserve">Plan Year 2023/2024 </w:t>
            </w:r>
            <w:r>
              <w:rPr>
                <w:rFonts w:ascii="Arial" w:hAnsi="Arial" w:cs="Arial"/>
              </w:rPr>
              <w:t>data</w:t>
            </w:r>
          </w:p>
          <w:p w14:paraId="585305CF" w14:textId="77777777" w:rsidR="00FF2157" w:rsidRPr="00EF42DB" w:rsidRDefault="00FF2157" w:rsidP="00581293">
            <w:pPr>
              <w:pStyle w:val="ListParagraph"/>
              <w:numPr>
                <w:ilvl w:val="0"/>
                <w:numId w:val="21"/>
              </w:numPr>
              <w:rPr>
                <w:rFonts w:ascii="Arial" w:hAnsi="Arial" w:cs="Arial"/>
              </w:rPr>
            </w:pPr>
            <w:r w:rsidRPr="00EF42DB">
              <w:rPr>
                <w:rFonts w:ascii="Arial" w:hAnsi="Arial" w:cs="Arial"/>
              </w:rPr>
              <w:t xml:space="preserve">Plan Year </w:t>
            </w:r>
            <w:r w:rsidR="00432567" w:rsidRPr="00EF42DB">
              <w:rPr>
                <w:rFonts w:ascii="Arial" w:hAnsi="Arial" w:cs="Arial"/>
              </w:rPr>
              <w:t xml:space="preserve">2026 – Rate </w:t>
            </w:r>
            <w:r w:rsidRPr="00EF42DB">
              <w:rPr>
                <w:rFonts w:ascii="Arial" w:hAnsi="Arial" w:cs="Arial"/>
              </w:rPr>
              <w:t>Review</w:t>
            </w:r>
            <w:r w:rsidR="00432567" w:rsidRPr="00EF42DB">
              <w:rPr>
                <w:rFonts w:ascii="Arial" w:hAnsi="Arial" w:cs="Arial"/>
              </w:rPr>
              <w:t>, Consumer Impact Study (</w:t>
            </w:r>
            <w:r w:rsidRPr="00EF42DB">
              <w:rPr>
                <w:rFonts w:ascii="Arial" w:hAnsi="Arial" w:cs="Arial"/>
              </w:rPr>
              <w:t xml:space="preserve">Presented in </w:t>
            </w:r>
            <w:r w:rsidR="00432567" w:rsidRPr="00EF42DB">
              <w:rPr>
                <w:rFonts w:ascii="Arial" w:hAnsi="Arial" w:cs="Arial"/>
              </w:rPr>
              <w:t>Oct 2025)</w:t>
            </w:r>
          </w:p>
          <w:p w14:paraId="49F364FF" w14:textId="77777777" w:rsidR="00FF2157" w:rsidRDefault="00FF2157" w:rsidP="00E93901">
            <w:pPr>
              <w:pStyle w:val="ListParagraph"/>
              <w:numPr>
                <w:ilvl w:val="0"/>
                <w:numId w:val="21"/>
              </w:numPr>
              <w:rPr>
                <w:rFonts w:ascii="Arial" w:hAnsi="Arial" w:cs="Arial"/>
              </w:rPr>
            </w:pPr>
            <w:r w:rsidRPr="00EF42DB">
              <w:rPr>
                <w:rFonts w:ascii="Arial" w:hAnsi="Arial" w:cs="Arial"/>
              </w:rPr>
              <w:t xml:space="preserve">Reinsurance Analysis, if requested for </w:t>
            </w:r>
            <w:proofErr w:type="gramStart"/>
            <w:r w:rsidRPr="00EF42DB">
              <w:rPr>
                <w:rFonts w:ascii="Arial" w:hAnsi="Arial" w:cs="Arial"/>
              </w:rPr>
              <w:t>future plan</w:t>
            </w:r>
            <w:proofErr w:type="gramEnd"/>
            <w:r w:rsidRPr="00EF42DB">
              <w:rPr>
                <w:rFonts w:ascii="Arial" w:hAnsi="Arial" w:cs="Arial"/>
              </w:rPr>
              <w:t xml:space="preserve"> years</w:t>
            </w:r>
          </w:p>
          <w:p w14:paraId="2FD041E9" w14:textId="77777777" w:rsidR="00490B87" w:rsidRPr="00490B87" w:rsidRDefault="00490B87" w:rsidP="00490B87">
            <w:pPr>
              <w:ind w:left="360"/>
              <w:rPr>
                <w:rFonts w:ascii="Arial" w:hAnsi="Arial" w:cs="Arial"/>
              </w:rPr>
            </w:pPr>
          </w:p>
          <w:p w14:paraId="0A88EF5A" w14:textId="389BF0B0" w:rsidR="00EF42DB" w:rsidRPr="00EF42DB" w:rsidRDefault="00EF42DB" w:rsidP="00EF42DB">
            <w:pPr>
              <w:pStyle w:val="ListParagraph"/>
              <w:rPr>
                <w:rFonts w:ascii="Arial" w:hAnsi="Arial" w:cs="Arial"/>
              </w:rPr>
            </w:pPr>
          </w:p>
        </w:tc>
      </w:tr>
      <w:tr w:rsidR="00A86507" w:rsidRPr="001F0115" w14:paraId="5E115574" w14:textId="77777777" w:rsidTr="00EF42DB">
        <w:tc>
          <w:tcPr>
            <w:tcW w:w="895" w:type="dxa"/>
            <w:vAlign w:val="center"/>
          </w:tcPr>
          <w:p w14:paraId="6D80011F" w14:textId="77777777" w:rsidR="00A86507" w:rsidRPr="00EF42DB" w:rsidRDefault="00A86507" w:rsidP="00E25A84">
            <w:pPr>
              <w:pStyle w:val="ListParagraph"/>
              <w:numPr>
                <w:ilvl w:val="0"/>
                <w:numId w:val="16"/>
              </w:numPr>
              <w:jc w:val="center"/>
              <w:rPr>
                <w:rFonts w:ascii="Arial" w:hAnsi="Arial" w:cs="Arial"/>
              </w:rPr>
            </w:pPr>
          </w:p>
        </w:tc>
        <w:tc>
          <w:tcPr>
            <w:tcW w:w="6750" w:type="dxa"/>
            <w:vAlign w:val="center"/>
          </w:tcPr>
          <w:p w14:paraId="62B7FB6B" w14:textId="3EE4BE54" w:rsidR="00A86507" w:rsidRPr="00EF42DB" w:rsidRDefault="00A86507" w:rsidP="00A86507">
            <w:pPr>
              <w:rPr>
                <w:rFonts w:ascii="Arial" w:eastAsia="Times New Roman" w:hAnsi="Arial" w:cs="Arial"/>
              </w:rPr>
            </w:pPr>
            <w:r w:rsidRPr="00EF42DB">
              <w:rPr>
                <w:rFonts w:ascii="Arial" w:eastAsia="Times New Roman" w:hAnsi="Arial" w:cs="Arial"/>
              </w:rPr>
              <w:t>Is there an incumbent vendor currently performing a related scope of services? What data sharing will occur between the incumbent and the new contractor?</w:t>
            </w:r>
          </w:p>
        </w:tc>
        <w:tc>
          <w:tcPr>
            <w:tcW w:w="6660" w:type="dxa"/>
            <w:vAlign w:val="center"/>
          </w:tcPr>
          <w:p w14:paraId="1DF3B784" w14:textId="77777777" w:rsidR="00EF42DB" w:rsidRDefault="00EF42DB">
            <w:pPr>
              <w:rPr>
                <w:rFonts w:ascii="Arial" w:hAnsi="Arial" w:cs="Arial"/>
              </w:rPr>
            </w:pPr>
          </w:p>
          <w:p w14:paraId="6E94A702" w14:textId="090B9F87" w:rsidR="00A86507" w:rsidRDefault="00EF42DB">
            <w:pPr>
              <w:rPr>
                <w:rFonts w:ascii="Arial" w:hAnsi="Arial" w:cs="Arial"/>
              </w:rPr>
            </w:pPr>
            <w:r w:rsidRPr="00EF42DB">
              <w:rPr>
                <w:rFonts w:ascii="Arial" w:hAnsi="Arial" w:cs="Arial"/>
              </w:rPr>
              <w:t>Please see answer to #1.  The Exchange does not foresee any data sharing between the incumbent and the new contractor.  The Exchange will provide the applicable data necessary to perform the services as outlined in the RFP.</w:t>
            </w:r>
          </w:p>
          <w:p w14:paraId="47352D22" w14:textId="64C46909" w:rsidR="00EF42DB" w:rsidRPr="00EF42DB" w:rsidRDefault="00EF42DB">
            <w:pPr>
              <w:rPr>
                <w:rFonts w:ascii="Arial" w:hAnsi="Arial" w:cs="Arial"/>
              </w:rPr>
            </w:pPr>
          </w:p>
        </w:tc>
      </w:tr>
      <w:tr w:rsidR="00A86507" w:rsidRPr="001F0115" w14:paraId="0473020B" w14:textId="77777777" w:rsidTr="00390D8E">
        <w:trPr>
          <w:cantSplit/>
        </w:trPr>
        <w:tc>
          <w:tcPr>
            <w:tcW w:w="895" w:type="dxa"/>
            <w:vAlign w:val="center"/>
          </w:tcPr>
          <w:p w14:paraId="0466AA42" w14:textId="77777777" w:rsidR="00A86507" w:rsidRPr="00EF42DB" w:rsidRDefault="00A86507" w:rsidP="00E25A84">
            <w:pPr>
              <w:pStyle w:val="ListParagraph"/>
              <w:numPr>
                <w:ilvl w:val="0"/>
                <w:numId w:val="16"/>
              </w:numPr>
              <w:jc w:val="center"/>
              <w:rPr>
                <w:rFonts w:ascii="Arial" w:hAnsi="Arial" w:cs="Arial"/>
              </w:rPr>
            </w:pPr>
          </w:p>
        </w:tc>
        <w:tc>
          <w:tcPr>
            <w:tcW w:w="6750" w:type="dxa"/>
            <w:vAlign w:val="center"/>
          </w:tcPr>
          <w:p w14:paraId="04C1D61E" w14:textId="77777777" w:rsidR="00390D8E" w:rsidRDefault="00390D8E" w:rsidP="00A86507">
            <w:pPr>
              <w:rPr>
                <w:rFonts w:ascii="Arial" w:eastAsia="Times New Roman" w:hAnsi="Arial" w:cs="Arial"/>
              </w:rPr>
            </w:pPr>
          </w:p>
          <w:p w14:paraId="0EA36D03" w14:textId="5498CB73" w:rsidR="00A86507" w:rsidRDefault="00A86507" w:rsidP="00A86507">
            <w:pPr>
              <w:rPr>
                <w:rFonts w:ascii="Arial" w:eastAsia="Times New Roman" w:hAnsi="Arial" w:cs="Arial"/>
              </w:rPr>
            </w:pPr>
            <w:r w:rsidRPr="00EF42DB">
              <w:rPr>
                <w:rFonts w:ascii="Arial" w:eastAsia="Times New Roman" w:hAnsi="Arial" w:cs="Arial"/>
              </w:rPr>
              <w:t>Will the new contractor be given access to prior reports and work efforts?</w:t>
            </w:r>
          </w:p>
          <w:p w14:paraId="719E5B8C" w14:textId="6990AB30" w:rsidR="00EF42DB" w:rsidRPr="00EF42DB" w:rsidRDefault="00EF42DB" w:rsidP="00A86507">
            <w:pPr>
              <w:rPr>
                <w:rFonts w:ascii="Arial" w:eastAsia="Times New Roman" w:hAnsi="Arial" w:cs="Arial"/>
              </w:rPr>
            </w:pPr>
          </w:p>
        </w:tc>
        <w:tc>
          <w:tcPr>
            <w:tcW w:w="6660" w:type="dxa"/>
            <w:vAlign w:val="center"/>
          </w:tcPr>
          <w:p w14:paraId="632B0531" w14:textId="206CCB4F" w:rsidR="00A86507" w:rsidRPr="00EF42DB" w:rsidRDefault="00E3128E">
            <w:pPr>
              <w:rPr>
                <w:rFonts w:ascii="Arial" w:hAnsi="Arial" w:cs="Arial"/>
              </w:rPr>
            </w:pPr>
            <w:r w:rsidRPr="00EF42DB">
              <w:rPr>
                <w:rFonts w:ascii="Arial" w:hAnsi="Arial" w:cs="Arial"/>
              </w:rPr>
              <w:t>F</w:t>
            </w:r>
            <w:r w:rsidR="00FF2157" w:rsidRPr="00EF42DB">
              <w:rPr>
                <w:rFonts w:ascii="Arial" w:hAnsi="Arial" w:cs="Arial"/>
              </w:rPr>
              <w:t>inal reports can be shared</w:t>
            </w:r>
            <w:r w:rsidR="001F026D" w:rsidRPr="00EF42DB">
              <w:rPr>
                <w:rFonts w:ascii="Arial" w:hAnsi="Arial" w:cs="Arial"/>
              </w:rPr>
              <w:t>,</w:t>
            </w:r>
            <w:r w:rsidR="00FF2157" w:rsidRPr="00EF42DB">
              <w:rPr>
                <w:rFonts w:ascii="Arial" w:hAnsi="Arial" w:cs="Arial"/>
              </w:rPr>
              <w:t xml:space="preserve"> if needed.</w:t>
            </w:r>
          </w:p>
        </w:tc>
      </w:tr>
      <w:tr w:rsidR="00A86507" w:rsidRPr="001F0115" w14:paraId="1FA7AAC8" w14:textId="77777777" w:rsidTr="00EF42DB">
        <w:tc>
          <w:tcPr>
            <w:tcW w:w="895" w:type="dxa"/>
            <w:vAlign w:val="center"/>
          </w:tcPr>
          <w:p w14:paraId="4533834D" w14:textId="77777777" w:rsidR="00A86507" w:rsidRPr="00EF42DB" w:rsidRDefault="00A86507" w:rsidP="00E25A84">
            <w:pPr>
              <w:pStyle w:val="ListParagraph"/>
              <w:numPr>
                <w:ilvl w:val="0"/>
                <w:numId w:val="16"/>
              </w:numPr>
              <w:jc w:val="center"/>
              <w:rPr>
                <w:rFonts w:ascii="Arial" w:hAnsi="Arial" w:cs="Arial"/>
              </w:rPr>
            </w:pPr>
          </w:p>
        </w:tc>
        <w:tc>
          <w:tcPr>
            <w:tcW w:w="6750" w:type="dxa"/>
            <w:vAlign w:val="center"/>
          </w:tcPr>
          <w:p w14:paraId="6440F7AA" w14:textId="20E4B56F" w:rsidR="00A86507" w:rsidRPr="00EF42DB" w:rsidRDefault="00A86507" w:rsidP="00A86507">
            <w:pPr>
              <w:rPr>
                <w:rFonts w:ascii="Arial" w:eastAsia="Times New Roman" w:hAnsi="Arial" w:cs="Arial"/>
              </w:rPr>
            </w:pPr>
            <w:r w:rsidRPr="00EF42DB">
              <w:rPr>
                <w:rFonts w:ascii="Arial" w:eastAsia="Times New Roman" w:hAnsi="Arial" w:cs="Arial"/>
              </w:rPr>
              <w:t>What is the annual timing of the various deliverables, including the consumer impact study, the adverse selection study, and the expanded bronze reasonable copay analysis?</w:t>
            </w:r>
          </w:p>
        </w:tc>
        <w:tc>
          <w:tcPr>
            <w:tcW w:w="6660" w:type="dxa"/>
            <w:vAlign w:val="center"/>
          </w:tcPr>
          <w:p w14:paraId="04CD2100" w14:textId="77777777" w:rsidR="00EF42DB" w:rsidRDefault="00EF42DB" w:rsidP="00EF42DB">
            <w:pPr>
              <w:pStyle w:val="ListParagraph"/>
              <w:rPr>
                <w:rFonts w:ascii="Arial" w:eastAsia="Times New Roman" w:hAnsi="Arial" w:cs="Arial"/>
              </w:rPr>
            </w:pPr>
          </w:p>
          <w:p w14:paraId="2E548DF9" w14:textId="222872E9" w:rsidR="00FF2157" w:rsidRPr="00EF42DB" w:rsidRDefault="00886553" w:rsidP="00FF2157">
            <w:pPr>
              <w:pStyle w:val="ListParagraph"/>
              <w:numPr>
                <w:ilvl w:val="0"/>
                <w:numId w:val="22"/>
              </w:numPr>
              <w:rPr>
                <w:rFonts w:ascii="Arial" w:eastAsia="Times New Roman" w:hAnsi="Arial" w:cs="Arial"/>
              </w:rPr>
            </w:pPr>
            <w:r w:rsidRPr="00EF42DB">
              <w:rPr>
                <w:rFonts w:ascii="Arial" w:eastAsia="Times New Roman" w:hAnsi="Arial" w:cs="Arial"/>
              </w:rPr>
              <w:t xml:space="preserve">Consumer Impact Study – </w:t>
            </w:r>
            <w:r w:rsidR="00FF2157" w:rsidRPr="00EF42DB">
              <w:rPr>
                <w:rFonts w:ascii="Arial" w:eastAsia="Times New Roman" w:hAnsi="Arial" w:cs="Arial"/>
              </w:rPr>
              <w:t xml:space="preserve">Presented in </w:t>
            </w:r>
            <w:r w:rsidRPr="00EF42DB">
              <w:rPr>
                <w:rFonts w:ascii="Arial" w:eastAsia="Times New Roman" w:hAnsi="Arial" w:cs="Arial"/>
              </w:rPr>
              <w:t>Oct 2025 for plan year 2026</w:t>
            </w:r>
          </w:p>
          <w:p w14:paraId="37FA152A" w14:textId="42520D29" w:rsidR="00FF2157" w:rsidRPr="00EF42DB" w:rsidRDefault="00886553" w:rsidP="00FF2157">
            <w:pPr>
              <w:pStyle w:val="ListParagraph"/>
              <w:numPr>
                <w:ilvl w:val="0"/>
                <w:numId w:val="22"/>
              </w:numPr>
              <w:rPr>
                <w:rFonts w:ascii="Arial" w:hAnsi="Arial" w:cs="Arial"/>
              </w:rPr>
            </w:pPr>
            <w:r w:rsidRPr="00EF42DB">
              <w:rPr>
                <w:rFonts w:ascii="Arial" w:eastAsia="Times New Roman" w:hAnsi="Arial" w:cs="Arial"/>
              </w:rPr>
              <w:t xml:space="preserve">Adverse Selection Study – </w:t>
            </w:r>
            <w:r w:rsidR="00FF2157" w:rsidRPr="00EF42DB">
              <w:rPr>
                <w:rFonts w:ascii="Arial" w:eastAsia="Times New Roman" w:hAnsi="Arial" w:cs="Arial"/>
              </w:rPr>
              <w:t xml:space="preserve">Presented in </w:t>
            </w:r>
            <w:r w:rsidRPr="00EF42DB">
              <w:rPr>
                <w:rFonts w:ascii="Arial" w:eastAsia="Times New Roman" w:hAnsi="Arial" w:cs="Arial"/>
              </w:rPr>
              <w:t xml:space="preserve">Jan 2026 </w:t>
            </w:r>
            <w:r w:rsidR="00490B87">
              <w:rPr>
                <w:rFonts w:ascii="Arial" w:eastAsia="Times New Roman" w:hAnsi="Arial" w:cs="Arial"/>
              </w:rPr>
              <w:t>using</w:t>
            </w:r>
            <w:r w:rsidRPr="00EF42DB">
              <w:rPr>
                <w:rFonts w:ascii="Arial" w:eastAsia="Times New Roman" w:hAnsi="Arial" w:cs="Arial"/>
              </w:rPr>
              <w:t xml:space="preserve"> </w:t>
            </w:r>
            <w:r w:rsidR="00490B87">
              <w:rPr>
                <w:rFonts w:ascii="Arial" w:eastAsia="Times New Roman" w:hAnsi="Arial" w:cs="Arial"/>
              </w:rPr>
              <w:t>P</w:t>
            </w:r>
            <w:r w:rsidRPr="00EF42DB">
              <w:rPr>
                <w:rFonts w:ascii="Arial" w:eastAsia="Times New Roman" w:hAnsi="Arial" w:cs="Arial"/>
              </w:rPr>
              <w:t xml:space="preserve">lan </w:t>
            </w:r>
            <w:r w:rsidR="00490B87">
              <w:rPr>
                <w:rFonts w:ascii="Arial" w:eastAsia="Times New Roman" w:hAnsi="Arial" w:cs="Arial"/>
              </w:rPr>
              <w:t>Y</w:t>
            </w:r>
            <w:r w:rsidRPr="00EF42DB">
              <w:rPr>
                <w:rFonts w:ascii="Arial" w:eastAsia="Times New Roman" w:hAnsi="Arial" w:cs="Arial"/>
              </w:rPr>
              <w:t xml:space="preserve">ear </w:t>
            </w:r>
            <w:r w:rsidR="00FF2157" w:rsidRPr="00EF42DB">
              <w:rPr>
                <w:rFonts w:ascii="Arial" w:eastAsia="Times New Roman" w:hAnsi="Arial" w:cs="Arial"/>
              </w:rPr>
              <w:t>2023/2024</w:t>
            </w:r>
            <w:r w:rsidR="00490B87">
              <w:rPr>
                <w:rFonts w:ascii="Arial" w:eastAsia="Times New Roman" w:hAnsi="Arial" w:cs="Arial"/>
              </w:rPr>
              <w:t xml:space="preserve"> data</w:t>
            </w:r>
          </w:p>
          <w:p w14:paraId="6A3B4E99" w14:textId="0A7C771D" w:rsidR="00FF2157" w:rsidRPr="00EF42DB" w:rsidRDefault="00886553" w:rsidP="00E93901">
            <w:pPr>
              <w:pStyle w:val="ListParagraph"/>
              <w:numPr>
                <w:ilvl w:val="0"/>
                <w:numId w:val="22"/>
              </w:numPr>
              <w:rPr>
                <w:rFonts w:ascii="Arial" w:hAnsi="Arial" w:cs="Arial"/>
              </w:rPr>
            </w:pPr>
            <w:r w:rsidRPr="00EF42DB">
              <w:rPr>
                <w:rFonts w:ascii="Arial" w:eastAsia="Times New Roman" w:hAnsi="Arial" w:cs="Arial"/>
              </w:rPr>
              <w:t xml:space="preserve">Expanded Bronze Reasonable Copay Analysis – </w:t>
            </w:r>
            <w:r w:rsidR="00490B87">
              <w:rPr>
                <w:rFonts w:ascii="Arial" w:eastAsia="Times New Roman" w:hAnsi="Arial" w:cs="Arial"/>
              </w:rPr>
              <w:t>provided</w:t>
            </w:r>
            <w:r w:rsidR="00FF2157" w:rsidRPr="00EF42DB">
              <w:rPr>
                <w:rFonts w:ascii="Arial" w:eastAsia="Times New Roman" w:hAnsi="Arial" w:cs="Arial"/>
              </w:rPr>
              <w:t xml:space="preserve"> in </w:t>
            </w:r>
            <w:r w:rsidRPr="00EF42DB">
              <w:rPr>
                <w:rFonts w:ascii="Arial" w:eastAsia="Times New Roman" w:hAnsi="Arial" w:cs="Arial"/>
              </w:rPr>
              <w:t>Jan 2026 for plan year 2027</w:t>
            </w:r>
          </w:p>
          <w:p w14:paraId="5A8518CA" w14:textId="77777777" w:rsidR="00E93901" w:rsidRPr="00EF42DB" w:rsidRDefault="00E93901" w:rsidP="00E93901">
            <w:pPr>
              <w:pStyle w:val="ListParagraph"/>
              <w:numPr>
                <w:ilvl w:val="0"/>
                <w:numId w:val="22"/>
              </w:numPr>
              <w:rPr>
                <w:rFonts w:ascii="Arial" w:hAnsi="Arial" w:cs="Arial"/>
              </w:rPr>
            </w:pPr>
            <w:r w:rsidRPr="00EF42DB">
              <w:rPr>
                <w:rFonts w:ascii="Arial" w:eastAsia="Times New Roman" w:hAnsi="Arial" w:cs="Arial"/>
              </w:rPr>
              <w:t>Plan Year 2027 Standard Plan Design Development – Dec 2025 through Mar 2026</w:t>
            </w:r>
          </w:p>
          <w:p w14:paraId="2B6A14AB" w14:textId="55273D22" w:rsidR="00EF42DB" w:rsidRPr="00EF42DB" w:rsidRDefault="00EF42DB" w:rsidP="00EF42DB">
            <w:pPr>
              <w:pStyle w:val="ListParagraph"/>
              <w:rPr>
                <w:rFonts w:ascii="Arial" w:hAnsi="Arial" w:cs="Arial"/>
              </w:rPr>
            </w:pPr>
          </w:p>
        </w:tc>
      </w:tr>
      <w:tr w:rsidR="00A86507" w:rsidRPr="001F0115" w14:paraId="7F0453A4" w14:textId="77777777" w:rsidTr="00EF42DB">
        <w:tc>
          <w:tcPr>
            <w:tcW w:w="895" w:type="dxa"/>
            <w:vAlign w:val="center"/>
          </w:tcPr>
          <w:p w14:paraId="36812A11" w14:textId="77777777" w:rsidR="00A86507" w:rsidRPr="00EF42DB" w:rsidRDefault="00A86507" w:rsidP="00E25A84">
            <w:pPr>
              <w:pStyle w:val="ListParagraph"/>
              <w:numPr>
                <w:ilvl w:val="0"/>
                <w:numId w:val="16"/>
              </w:numPr>
              <w:jc w:val="center"/>
              <w:rPr>
                <w:rFonts w:ascii="Arial" w:hAnsi="Arial" w:cs="Arial"/>
              </w:rPr>
            </w:pPr>
          </w:p>
        </w:tc>
        <w:tc>
          <w:tcPr>
            <w:tcW w:w="6750" w:type="dxa"/>
            <w:vAlign w:val="center"/>
          </w:tcPr>
          <w:p w14:paraId="143793B6" w14:textId="4D304CBA" w:rsidR="00A86507" w:rsidRPr="00EF42DB" w:rsidRDefault="00A86507" w:rsidP="00A86507">
            <w:pPr>
              <w:rPr>
                <w:rFonts w:ascii="Arial" w:eastAsia="Times New Roman" w:hAnsi="Arial" w:cs="Arial"/>
              </w:rPr>
            </w:pPr>
            <w:r w:rsidRPr="00EF42DB">
              <w:rPr>
                <w:rFonts w:ascii="Arial" w:eastAsia="Times New Roman" w:hAnsi="Arial" w:cs="Arial"/>
              </w:rPr>
              <w:t>What is the expected coordination between the contractor and the state insurance department actuarial division?</w:t>
            </w:r>
          </w:p>
        </w:tc>
        <w:tc>
          <w:tcPr>
            <w:tcW w:w="6660" w:type="dxa"/>
            <w:vAlign w:val="center"/>
          </w:tcPr>
          <w:p w14:paraId="3EBE35F3" w14:textId="77777777" w:rsidR="00EF42DB" w:rsidRDefault="00EF42DB">
            <w:pPr>
              <w:rPr>
                <w:rFonts w:ascii="Arial" w:hAnsi="Arial" w:cs="Arial"/>
              </w:rPr>
            </w:pPr>
          </w:p>
          <w:p w14:paraId="1C9762A2" w14:textId="65E935B4" w:rsidR="00A86507" w:rsidRDefault="00EF42DB">
            <w:pPr>
              <w:rPr>
                <w:rFonts w:ascii="Arial" w:hAnsi="Arial" w:cs="Arial"/>
              </w:rPr>
            </w:pPr>
            <w:r w:rsidRPr="00EF42DB">
              <w:rPr>
                <w:rFonts w:ascii="Arial" w:hAnsi="Arial" w:cs="Arial"/>
              </w:rPr>
              <w:t>There is very little coordination between the Exchange’s actuarial consultant and the Connecticut Insurance Department.</w:t>
            </w:r>
          </w:p>
          <w:p w14:paraId="332A762C" w14:textId="6511221D" w:rsidR="00EF42DB" w:rsidRPr="00EF42DB" w:rsidRDefault="00EF42DB">
            <w:pPr>
              <w:rPr>
                <w:rFonts w:ascii="Arial" w:hAnsi="Arial" w:cs="Arial"/>
              </w:rPr>
            </w:pPr>
          </w:p>
        </w:tc>
      </w:tr>
      <w:tr w:rsidR="00A86507" w:rsidRPr="001F0115" w14:paraId="5E39732F" w14:textId="77777777" w:rsidTr="00EF42DB">
        <w:tc>
          <w:tcPr>
            <w:tcW w:w="895" w:type="dxa"/>
            <w:vAlign w:val="center"/>
          </w:tcPr>
          <w:p w14:paraId="06284084" w14:textId="77777777" w:rsidR="00A86507" w:rsidRPr="00EF42DB" w:rsidRDefault="00A86507" w:rsidP="00E25A84">
            <w:pPr>
              <w:pStyle w:val="ListParagraph"/>
              <w:numPr>
                <w:ilvl w:val="0"/>
                <w:numId w:val="16"/>
              </w:numPr>
              <w:jc w:val="center"/>
              <w:rPr>
                <w:rFonts w:ascii="Arial" w:hAnsi="Arial" w:cs="Arial"/>
              </w:rPr>
            </w:pPr>
          </w:p>
        </w:tc>
        <w:tc>
          <w:tcPr>
            <w:tcW w:w="6750" w:type="dxa"/>
            <w:vAlign w:val="center"/>
          </w:tcPr>
          <w:p w14:paraId="513FC71E" w14:textId="02542ACC" w:rsidR="00A86507" w:rsidRPr="00EF42DB" w:rsidRDefault="00A86507" w:rsidP="00A86507">
            <w:pPr>
              <w:rPr>
                <w:rFonts w:ascii="Arial" w:eastAsia="Times New Roman" w:hAnsi="Arial" w:cs="Arial"/>
              </w:rPr>
            </w:pPr>
            <w:r w:rsidRPr="00EF42DB">
              <w:rPr>
                <w:rFonts w:ascii="Arial" w:eastAsia="Times New Roman" w:hAnsi="Arial" w:cs="Arial"/>
              </w:rPr>
              <w:t>How many insurance carriers are anticipated to participate in Connecticut's ACA marketplace in 2026?</w:t>
            </w:r>
          </w:p>
        </w:tc>
        <w:tc>
          <w:tcPr>
            <w:tcW w:w="6660" w:type="dxa"/>
            <w:vAlign w:val="center"/>
          </w:tcPr>
          <w:p w14:paraId="0D03CD57" w14:textId="77777777" w:rsidR="00EF42DB" w:rsidRDefault="00EF42DB">
            <w:pPr>
              <w:rPr>
                <w:rFonts w:ascii="Arial" w:hAnsi="Arial" w:cs="Arial"/>
              </w:rPr>
            </w:pPr>
          </w:p>
          <w:p w14:paraId="4AC5B613" w14:textId="3A348CA1" w:rsidR="00A9081F" w:rsidRDefault="00E93901">
            <w:pPr>
              <w:rPr>
                <w:rFonts w:ascii="Arial" w:hAnsi="Arial" w:cs="Arial"/>
              </w:rPr>
            </w:pPr>
            <w:r w:rsidRPr="00EF42DB">
              <w:rPr>
                <w:rFonts w:ascii="Arial" w:hAnsi="Arial" w:cs="Arial"/>
              </w:rPr>
              <w:t>Issuer filings are not due until June 1, 2025</w:t>
            </w:r>
            <w:r w:rsidR="001F026D" w:rsidRPr="00EF42DB">
              <w:rPr>
                <w:rFonts w:ascii="Arial" w:hAnsi="Arial" w:cs="Arial"/>
              </w:rPr>
              <w:t>, so the Exchange cannot definitively answer this question at this time.</w:t>
            </w:r>
          </w:p>
          <w:p w14:paraId="16C6A876" w14:textId="4F218E9E" w:rsidR="00EF42DB" w:rsidRPr="00EF42DB" w:rsidRDefault="00EF42DB">
            <w:pPr>
              <w:rPr>
                <w:rFonts w:ascii="Arial" w:hAnsi="Arial" w:cs="Arial"/>
              </w:rPr>
            </w:pPr>
          </w:p>
        </w:tc>
      </w:tr>
      <w:tr w:rsidR="00A86507" w:rsidRPr="001F0115" w14:paraId="73C0B2D1" w14:textId="77777777" w:rsidTr="00EF42DB">
        <w:tc>
          <w:tcPr>
            <w:tcW w:w="895" w:type="dxa"/>
            <w:vAlign w:val="center"/>
          </w:tcPr>
          <w:p w14:paraId="23E5028C" w14:textId="77777777" w:rsidR="00A86507" w:rsidRPr="00EF42DB" w:rsidRDefault="00A86507" w:rsidP="00E25A84">
            <w:pPr>
              <w:pStyle w:val="ListParagraph"/>
              <w:numPr>
                <w:ilvl w:val="0"/>
                <w:numId w:val="16"/>
              </w:numPr>
              <w:jc w:val="center"/>
              <w:rPr>
                <w:rFonts w:ascii="Arial" w:hAnsi="Arial" w:cs="Arial"/>
              </w:rPr>
            </w:pPr>
          </w:p>
        </w:tc>
        <w:tc>
          <w:tcPr>
            <w:tcW w:w="6750" w:type="dxa"/>
            <w:vAlign w:val="center"/>
          </w:tcPr>
          <w:p w14:paraId="6EBF412F" w14:textId="77777777" w:rsidR="00EF42DB" w:rsidRDefault="00EF42DB" w:rsidP="00A86507">
            <w:pPr>
              <w:rPr>
                <w:rFonts w:ascii="Arial" w:eastAsia="Times New Roman" w:hAnsi="Arial" w:cs="Arial"/>
              </w:rPr>
            </w:pPr>
          </w:p>
          <w:p w14:paraId="38B533C9" w14:textId="16950A77" w:rsidR="00A86507" w:rsidRDefault="00A86507" w:rsidP="00A86507">
            <w:pPr>
              <w:rPr>
                <w:rFonts w:ascii="Arial" w:eastAsia="Times New Roman" w:hAnsi="Arial" w:cs="Arial"/>
              </w:rPr>
            </w:pPr>
            <w:r w:rsidRPr="00EF42DB">
              <w:rPr>
                <w:rFonts w:ascii="Arial" w:eastAsia="Times New Roman" w:hAnsi="Arial" w:cs="Arial"/>
              </w:rPr>
              <w:t>Are there any significant program or legislation changes that will be impacting ACA rate setting efforts for 2026, either federally or in Connecticut?</w:t>
            </w:r>
          </w:p>
          <w:p w14:paraId="239F8376" w14:textId="603C7B92" w:rsidR="00EF42DB" w:rsidRPr="00EF42DB" w:rsidRDefault="00EF42DB" w:rsidP="00A86507">
            <w:pPr>
              <w:rPr>
                <w:rFonts w:ascii="Arial" w:eastAsia="Times New Roman" w:hAnsi="Arial" w:cs="Arial"/>
              </w:rPr>
            </w:pPr>
          </w:p>
        </w:tc>
        <w:tc>
          <w:tcPr>
            <w:tcW w:w="6660" w:type="dxa"/>
            <w:vAlign w:val="center"/>
          </w:tcPr>
          <w:p w14:paraId="39830E19" w14:textId="020E9558" w:rsidR="00A86507" w:rsidRPr="00EF42DB" w:rsidRDefault="001F026D">
            <w:pPr>
              <w:rPr>
                <w:rFonts w:ascii="Arial" w:hAnsi="Arial" w:cs="Arial"/>
              </w:rPr>
            </w:pPr>
            <w:r w:rsidRPr="00EF42DB">
              <w:rPr>
                <w:rFonts w:ascii="Arial" w:hAnsi="Arial" w:cs="Arial"/>
              </w:rPr>
              <w:t>It is currently unclear if there will be significant program or legislative changes</w:t>
            </w:r>
            <w:r w:rsidR="00EF42DB" w:rsidRPr="00EF42DB">
              <w:rPr>
                <w:rFonts w:ascii="Arial" w:hAnsi="Arial" w:cs="Arial"/>
              </w:rPr>
              <w:t>.</w:t>
            </w:r>
          </w:p>
        </w:tc>
      </w:tr>
      <w:tr w:rsidR="00A86507" w:rsidRPr="001F0115" w14:paraId="063E515C" w14:textId="77777777" w:rsidTr="00EF42DB">
        <w:tc>
          <w:tcPr>
            <w:tcW w:w="895" w:type="dxa"/>
            <w:vAlign w:val="center"/>
          </w:tcPr>
          <w:p w14:paraId="00532EF4" w14:textId="77777777" w:rsidR="00A86507" w:rsidRPr="00EF42DB" w:rsidRDefault="00A86507" w:rsidP="00E25A84">
            <w:pPr>
              <w:pStyle w:val="ListParagraph"/>
              <w:numPr>
                <w:ilvl w:val="0"/>
                <w:numId w:val="16"/>
              </w:numPr>
              <w:jc w:val="center"/>
              <w:rPr>
                <w:rFonts w:ascii="Arial" w:hAnsi="Arial" w:cs="Arial"/>
              </w:rPr>
            </w:pPr>
          </w:p>
        </w:tc>
        <w:tc>
          <w:tcPr>
            <w:tcW w:w="6750" w:type="dxa"/>
            <w:vAlign w:val="center"/>
          </w:tcPr>
          <w:p w14:paraId="123CF5A0" w14:textId="2BF212E5" w:rsidR="00A86507" w:rsidRPr="00EF42DB" w:rsidRDefault="00A86507" w:rsidP="00A86507">
            <w:pPr>
              <w:rPr>
                <w:rFonts w:ascii="Arial" w:eastAsia="Times New Roman" w:hAnsi="Arial" w:cs="Arial"/>
              </w:rPr>
            </w:pPr>
            <w:r w:rsidRPr="00EF42DB">
              <w:rPr>
                <w:rFonts w:ascii="Arial" w:eastAsia="Times New Roman" w:hAnsi="Arial" w:cs="Arial"/>
              </w:rPr>
              <w:t>What data and information will be provided for the Adverse Selection Study, especially related to grandfathered plans and self-insured plans?</w:t>
            </w:r>
          </w:p>
        </w:tc>
        <w:tc>
          <w:tcPr>
            <w:tcW w:w="6660" w:type="dxa"/>
            <w:vAlign w:val="center"/>
          </w:tcPr>
          <w:p w14:paraId="4210B8F9" w14:textId="77777777" w:rsidR="00EF42DB" w:rsidRDefault="00EF42DB">
            <w:pPr>
              <w:rPr>
                <w:rFonts w:ascii="Arial" w:hAnsi="Arial" w:cs="Arial"/>
              </w:rPr>
            </w:pPr>
          </w:p>
          <w:p w14:paraId="3EF73308" w14:textId="2EA8E017" w:rsidR="00A86507" w:rsidRPr="00EF42DB" w:rsidRDefault="001F0115">
            <w:pPr>
              <w:rPr>
                <w:rFonts w:ascii="Arial" w:hAnsi="Arial" w:cs="Arial"/>
              </w:rPr>
            </w:pPr>
            <w:r w:rsidRPr="00EF42DB">
              <w:rPr>
                <w:rFonts w:ascii="Arial" w:hAnsi="Arial" w:cs="Arial"/>
              </w:rPr>
              <w:t>There are no</w:t>
            </w:r>
            <w:r w:rsidR="00490B87">
              <w:rPr>
                <w:rFonts w:ascii="Arial" w:hAnsi="Arial" w:cs="Arial"/>
              </w:rPr>
              <w:t xml:space="preserve"> longer any</w:t>
            </w:r>
            <w:r w:rsidRPr="00EF42DB">
              <w:rPr>
                <w:rFonts w:ascii="Arial" w:hAnsi="Arial" w:cs="Arial"/>
              </w:rPr>
              <w:t xml:space="preserve"> </w:t>
            </w:r>
            <w:r w:rsidR="001F026D" w:rsidRPr="00EF42DB">
              <w:rPr>
                <w:rFonts w:ascii="Arial" w:hAnsi="Arial" w:cs="Arial"/>
              </w:rPr>
              <w:t>g</w:t>
            </w:r>
            <w:r w:rsidRPr="00EF42DB">
              <w:rPr>
                <w:rFonts w:ascii="Arial" w:hAnsi="Arial" w:cs="Arial"/>
              </w:rPr>
              <w:t xml:space="preserve">randfathered plans </w:t>
            </w:r>
            <w:r w:rsidR="00490B87">
              <w:rPr>
                <w:rFonts w:ascii="Arial" w:hAnsi="Arial" w:cs="Arial"/>
              </w:rPr>
              <w:t>in</w:t>
            </w:r>
            <w:r w:rsidRPr="00EF42DB">
              <w:rPr>
                <w:rFonts w:ascii="Arial" w:hAnsi="Arial" w:cs="Arial"/>
              </w:rPr>
              <w:t xml:space="preserve"> Connecticut.</w:t>
            </w:r>
          </w:p>
          <w:p w14:paraId="6CD84F49" w14:textId="52745864" w:rsidR="00E93901" w:rsidRPr="00EF42DB" w:rsidRDefault="001F026D">
            <w:pPr>
              <w:rPr>
                <w:rFonts w:ascii="Arial" w:hAnsi="Arial" w:cs="Arial"/>
              </w:rPr>
            </w:pPr>
            <w:r w:rsidRPr="00EF42DB">
              <w:rPr>
                <w:rFonts w:ascii="Arial" w:hAnsi="Arial" w:cs="Arial"/>
              </w:rPr>
              <w:t>The Exchange’s a</w:t>
            </w:r>
            <w:r w:rsidR="00E93901" w:rsidRPr="00EF42DB">
              <w:rPr>
                <w:rFonts w:ascii="Arial" w:hAnsi="Arial" w:cs="Arial"/>
              </w:rPr>
              <w:t xml:space="preserve">ctuarial </w:t>
            </w:r>
            <w:r w:rsidRPr="00EF42DB">
              <w:rPr>
                <w:rFonts w:ascii="Arial" w:hAnsi="Arial" w:cs="Arial"/>
              </w:rPr>
              <w:t>c</w:t>
            </w:r>
            <w:r w:rsidR="00E93901" w:rsidRPr="00EF42DB">
              <w:rPr>
                <w:rFonts w:ascii="Arial" w:hAnsi="Arial" w:cs="Arial"/>
              </w:rPr>
              <w:t>onsultant</w:t>
            </w:r>
            <w:r w:rsidRPr="00EF42DB">
              <w:rPr>
                <w:rFonts w:ascii="Arial" w:hAnsi="Arial" w:cs="Arial"/>
              </w:rPr>
              <w:t xml:space="preserve"> will</w:t>
            </w:r>
            <w:r w:rsidR="00E93901" w:rsidRPr="00EF42DB">
              <w:rPr>
                <w:rFonts w:ascii="Arial" w:hAnsi="Arial" w:cs="Arial"/>
              </w:rPr>
              <w:t xml:space="preserve"> work directly with </w:t>
            </w:r>
            <w:r w:rsidR="00EF42DB" w:rsidRPr="00EF42DB">
              <w:rPr>
                <w:rFonts w:ascii="Arial" w:hAnsi="Arial" w:cs="Arial"/>
              </w:rPr>
              <w:t xml:space="preserve">the </w:t>
            </w:r>
            <w:r w:rsidR="00E93901" w:rsidRPr="00EF42DB">
              <w:rPr>
                <w:rFonts w:ascii="Arial" w:hAnsi="Arial" w:cs="Arial"/>
              </w:rPr>
              <w:t xml:space="preserve">Issuers </w:t>
            </w:r>
            <w:r w:rsidRPr="00EF42DB">
              <w:rPr>
                <w:rFonts w:ascii="Arial" w:hAnsi="Arial" w:cs="Arial"/>
              </w:rPr>
              <w:t xml:space="preserve">to obtain </w:t>
            </w:r>
            <w:r w:rsidR="00E93901" w:rsidRPr="00EF42DB">
              <w:rPr>
                <w:rFonts w:ascii="Arial" w:hAnsi="Arial" w:cs="Arial"/>
              </w:rPr>
              <w:t>plan data</w:t>
            </w:r>
            <w:r w:rsidR="00490B87">
              <w:rPr>
                <w:rFonts w:ascii="Arial" w:hAnsi="Arial" w:cs="Arial"/>
              </w:rPr>
              <w:t xml:space="preserve"> for the study</w:t>
            </w:r>
            <w:r w:rsidR="00E93901" w:rsidRPr="00EF42DB">
              <w:rPr>
                <w:rFonts w:ascii="Arial" w:hAnsi="Arial" w:cs="Arial"/>
              </w:rPr>
              <w:t>.</w:t>
            </w:r>
            <w:r w:rsidR="00490B87">
              <w:rPr>
                <w:rFonts w:ascii="Arial" w:hAnsi="Arial" w:cs="Arial"/>
              </w:rPr>
              <w:t xml:space="preserve">  The actuarial consultant sources information on self-insured plans from available data sources.</w:t>
            </w:r>
          </w:p>
          <w:p w14:paraId="47A7AA55" w14:textId="34009690" w:rsidR="001F0115" w:rsidRPr="00EF42DB" w:rsidRDefault="001F0115" w:rsidP="00E93901">
            <w:pPr>
              <w:rPr>
                <w:rFonts w:ascii="Arial" w:hAnsi="Arial" w:cs="Arial"/>
              </w:rPr>
            </w:pPr>
          </w:p>
        </w:tc>
      </w:tr>
      <w:tr w:rsidR="00A86507" w:rsidRPr="001F0115" w14:paraId="0B8E86F6" w14:textId="77777777" w:rsidTr="00EF42DB">
        <w:tc>
          <w:tcPr>
            <w:tcW w:w="895" w:type="dxa"/>
            <w:vAlign w:val="center"/>
          </w:tcPr>
          <w:p w14:paraId="1EDA0973" w14:textId="77777777" w:rsidR="00A86507" w:rsidRPr="00EF42DB" w:rsidRDefault="00A86507" w:rsidP="00E25A84">
            <w:pPr>
              <w:pStyle w:val="ListParagraph"/>
              <w:numPr>
                <w:ilvl w:val="0"/>
                <w:numId w:val="16"/>
              </w:numPr>
              <w:jc w:val="center"/>
              <w:rPr>
                <w:rFonts w:ascii="Arial" w:hAnsi="Arial" w:cs="Arial"/>
              </w:rPr>
            </w:pPr>
          </w:p>
        </w:tc>
        <w:tc>
          <w:tcPr>
            <w:tcW w:w="6750" w:type="dxa"/>
            <w:vAlign w:val="center"/>
          </w:tcPr>
          <w:p w14:paraId="314BC5BF" w14:textId="77777777" w:rsidR="00EF42DB" w:rsidRDefault="00EF42DB" w:rsidP="00A86507">
            <w:pPr>
              <w:rPr>
                <w:rFonts w:ascii="Arial" w:eastAsia="Times New Roman" w:hAnsi="Arial" w:cs="Arial"/>
              </w:rPr>
            </w:pPr>
          </w:p>
          <w:p w14:paraId="3388F7FA" w14:textId="238B47BC" w:rsidR="00A86507" w:rsidRDefault="006C37B9" w:rsidP="00A86507">
            <w:pPr>
              <w:rPr>
                <w:rFonts w:ascii="Arial" w:eastAsia="Times New Roman" w:hAnsi="Arial" w:cs="Arial"/>
              </w:rPr>
            </w:pPr>
            <w:r w:rsidRPr="00EF42DB">
              <w:rPr>
                <w:rFonts w:ascii="Arial" w:eastAsia="Times New Roman" w:hAnsi="Arial" w:cs="Arial"/>
              </w:rPr>
              <w:t>What travel is expected of the contractor?</w:t>
            </w:r>
          </w:p>
          <w:p w14:paraId="2DA946B9" w14:textId="1396B664" w:rsidR="00EF42DB" w:rsidRPr="00EF42DB" w:rsidRDefault="00EF42DB" w:rsidP="00A86507">
            <w:pPr>
              <w:rPr>
                <w:rFonts w:ascii="Arial" w:eastAsia="Times New Roman" w:hAnsi="Arial" w:cs="Arial"/>
              </w:rPr>
            </w:pPr>
          </w:p>
        </w:tc>
        <w:tc>
          <w:tcPr>
            <w:tcW w:w="6660" w:type="dxa"/>
            <w:vAlign w:val="center"/>
          </w:tcPr>
          <w:p w14:paraId="520B0368" w14:textId="155D5497" w:rsidR="00A86507" w:rsidRPr="00EF42DB" w:rsidRDefault="00EF42DB">
            <w:pPr>
              <w:rPr>
                <w:rFonts w:ascii="Arial" w:hAnsi="Arial" w:cs="Arial"/>
              </w:rPr>
            </w:pPr>
            <w:r w:rsidRPr="00EF42DB">
              <w:rPr>
                <w:rFonts w:ascii="Arial" w:hAnsi="Arial" w:cs="Arial"/>
              </w:rPr>
              <w:t>Please see answer to #8.</w:t>
            </w:r>
          </w:p>
        </w:tc>
      </w:tr>
    </w:tbl>
    <w:p w14:paraId="69B61FF6" w14:textId="4451A0DE" w:rsidR="008B5F68" w:rsidRPr="001F0115" w:rsidRDefault="008B5F68" w:rsidP="00CD29A2">
      <w:pPr>
        <w:rPr>
          <w:rFonts w:ascii="Arial" w:hAnsi="Arial" w:cs="Arial"/>
          <w:b/>
          <w:bCs/>
          <w:sz w:val="24"/>
          <w:szCs w:val="24"/>
        </w:rPr>
      </w:pPr>
      <w:r w:rsidRPr="001F0115">
        <w:rPr>
          <w:rFonts w:ascii="Arial" w:hAnsi="Arial" w:cs="Arial"/>
          <w:b/>
          <w:bCs/>
          <w:sz w:val="24"/>
          <w:szCs w:val="24"/>
        </w:rPr>
        <w:t xml:space="preserve"> </w:t>
      </w:r>
    </w:p>
    <w:sectPr w:rsidR="008B5F68" w:rsidRPr="001F0115" w:rsidSect="0020384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0D3"/>
    <w:multiLevelType w:val="hybridMultilevel"/>
    <w:tmpl w:val="8C507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9C4A8F"/>
    <w:multiLevelType w:val="hybridMultilevel"/>
    <w:tmpl w:val="60CC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C6F88"/>
    <w:multiLevelType w:val="hybridMultilevel"/>
    <w:tmpl w:val="E92A7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A7C2A"/>
    <w:multiLevelType w:val="hybridMultilevel"/>
    <w:tmpl w:val="4B848E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49F1C83"/>
    <w:multiLevelType w:val="hybridMultilevel"/>
    <w:tmpl w:val="8C507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303E71"/>
    <w:multiLevelType w:val="multilevel"/>
    <w:tmpl w:val="60841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AD57E0"/>
    <w:multiLevelType w:val="hybridMultilevel"/>
    <w:tmpl w:val="7384F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C05787"/>
    <w:multiLevelType w:val="hybridMultilevel"/>
    <w:tmpl w:val="1DD28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E42062"/>
    <w:multiLevelType w:val="hybridMultilevel"/>
    <w:tmpl w:val="FAE82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71F3B73"/>
    <w:multiLevelType w:val="hybridMultilevel"/>
    <w:tmpl w:val="E584AC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AFB465E"/>
    <w:multiLevelType w:val="hybridMultilevel"/>
    <w:tmpl w:val="71D0B0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CA92E30"/>
    <w:multiLevelType w:val="hybridMultilevel"/>
    <w:tmpl w:val="4B4C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560EB"/>
    <w:multiLevelType w:val="hybridMultilevel"/>
    <w:tmpl w:val="766EC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7D0215B"/>
    <w:multiLevelType w:val="hybridMultilevel"/>
    <w:tmpl w:val="E584AC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B50650B"/>
    <w:multiLevelType w:val="hybridMultilevel"/>
    <w:tmpl w:val="B5CCD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E7613"/>
    <w:multiLevelType w:val="multilevel"/>
    <w:tmpl w:val="158A9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5504F"/>
    <w:multiLevelType w:val="hybridMultilevel"/>
    <w:tmpl w:val="E584AC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6F1A068F"/>
    <w:multiLevelType w:val="hybridMultilevel"/>
    <w:tmpl w:val="9CE2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C355A1"/>
    <w:multiLevelType w:val="multilevel"/>
    <w:tmpl w:val="B4221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127CB8"/>
    <w:multiLevelType w:val="hybridMultilevel"/>
    <w:tmpl w:val="E54C2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AD3ABA"/>
    <w:multiLevelType w:val="hybridMultilevel"/>
    <w:tmpl w:val="D8AAA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126836">
    <w:abstractNumId w:val="14"/>
  </w:num>
  <w:num w:numId="2" w16cid:durableId="556890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89411">
    <w:abstractNumId w:val="0"/>
  </w:num>
  <w:num w:numId="4" w16cid:durableId="1612200259">
    <w:abstractNumId w:val="4"/>
  </w:num>
  <w:num w:numId="5" w16cid:durableId="14249158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0996717">
    <w:abstractNumId w:val="13"/>
  </w:num>
  <w:num w:numId="7" w16cid:durableId="652878970">
    <w:abstractNumId w:val="9"/>
  </w:num>
  <w:num w:numId="8" w16cid:durableId="1265960220">
    <w:abstractNumId w:val="3"/>
  </w:num>
  <w:num w:numId="9" w16cid:durableId="7081460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0396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8639912">
    <w:abstractNumId w:val="6"/>
  </w:num>
  <w:num w:numId="12" w16cid:durableId="30107375">
    <w:abstractNumId w:val="10"/>
  </w:num>
  <w:num w:numId="13" w16cid:durableId="1563178218">
    <w:abstractNumId w:val="10"/>
  </w:num>
  <w:num w:numId="14" w16cid:durableId="1854562805">
    <w:abstractNumId w:val="15"/>
  </w:num>
  <w:num w:numId="15" w16cid:durableId="1431781818">
    <w:abstractNumId w:val="1"/>
  </w:num>
  <w:num w:numId="16" w16cid:durableId="1287391621">
    <w:abstractNumId w:val="19"/>
  </w:num>
  <w:num w:numId="17" w16cid:durableId="916786151">
    <w:abstractNumId w:val="18"/>
  </w:num>
  <w:num w:numId="18" w16cid:durableId="14837370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6040802">
    <w:abstractNumId w:val="5"/>
  </w:num>
  <w:num w:numId="20" w16cid:durableId="927932540">
    <w:abstractNumId w:val="2"/>
  </w:num>
  <w:num w:numId="21" w16cid:durableId="251595742">
    <w:abstractNumId w:val="17"/>
  </w:num>
  <w:num w:numId="22" w16cid:durableId="572086556">
    <w:abstractNumId w:val="11"/>
  </w:num>
  <w:num w:numId="23" w16cid:durableId="1772750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43"/>
    <w:rsid w:val="00093D3F"/>
    <w:rsid w:val="0009405A"/>
    <w:rsid w:val="000D38F7"/>
    <w:rsid w:val="001823B9"/>
    <w:rsid w:val="001C2610"/>
    <w:rsid w:val="001C77DB"/>
    <w:rsid w:val="001E4350"/>
    <w:rsid w:val="001F0115"/>
    <w:rsid w:val="001F026D"/>
    <w:rsid w:val="001F1080"/>
    <w:rsid w:val="00203843"/>
    <w:rsid w:val="00213690"/>
    <w:rsid w:val="002A63E9"/>
    <w:rsid w:val="002C64AD"/>
    <w:rsid w:val="002D6C76"/>
    <w:rsid w:val="00390D8E"/>
    <w:rsid w:val="003D2607"/>
    <w:rsid w:val="00410E28"/>
    <w:rsid w:val="00410E8F"/>
    <w:rsid w:val="00413F33"/>
    <w:rsid w:val="00432567"/>
    <w:rsid w:val="0044729D"/>
    <w:rsid w:val="00490B87"/>
    <w:rsid w:val="004B62B4"/>
    <w:rsid w:val="004D7C28"/>
    <w:rsid w:val="004F6BF5"/>
    <w:rsid w:val="00534A48"/>
    <w:rsid w:val="00545E81"/>
    <w:rsid w:val="005558BC"/>
    <w:rsid w:val="0057245C"/>
    <w:rsid w:val="005A2283"/>
    <w:rsid w:val="005B50CC"/>
    <w:rsid w:val="005F3794"/>
    <w:rsid w:val="006052B0"/>
    <w:rsid w:val="0060747A"/>
    <w:rsid w:val="006275C5"/>
    <w:rsid w:val="00651600"/>
    <w:rsid w:val="00661683"/>
    <w:rsid w:val="006915FB"/>
    <w:rsid w:val="00696952"/>
    <w:rsid w:val="006A76A1"/>
    <w:rsid w:val="006C37B9"/>
    <w:rsid w:val="006E1A40"/>
    <w:rsid w:val="006F1A91"/>
    <w:rsid w:val="00714248"/>
    <w:rsid w:val="00730924"/>
    <w:rsid w:val="0078619C"/>
    <w:rsid w:val="00795A2D"/>
    <w:rsid w:val="007A3BCF"/>
    <w:rsid w:val="007B5839"/>
    <w:rsid w:val="00864A1C"/>
    <w:rsid w:val="008765E2"/>
    <w:rsid w:val="00885E76"/>
    <w:rsid w:val="00886553"/>
    <w:rsid w:val="008A15E3"/>
    <w:rsid w:val="008A3FD7"/>
    <w:rsid w:val="008A7654"/>
    <w:rsid w:val="008B4AA8"/>
    <w:rsid w:val="008B5F68"/>
    <w:rsid w:val="008E3222"/>
    <w:rsid w:val="00914A72"/>
    <w:rsid w:val="00922F7F"/>
    <w:rsid w:val="00954D48"/>
    <w:rsid w:val="00976850"/>
    <w:rsid w:val="0099200E"/>
    <w:rsid w:val="009B2511"/>
    <w:rsid w:val="009E33ED"/>
    <w:rsid w:val="00A13968"/>
    <w:rsid w:val="00A86507"/>
    <w:rsid w:val="00A9081F"/>
    <w:rsid w:val="00AF694F"/>
    <w:rsid w:val="00B11817"/>
    <w:rsid w:val="00B136FB"/>
    <w:rsid w:val="00B3657A"/>
    <w:rsid w:val="00B50DB6"/>
    <w:rsid w:val="00B76BB9"/>
    <w:rsid w:val="00B83778"/>
    <w:rsid w:val="00BF57F0"/>
    <w:rsid w:val="00C039D2"/>
    <w:rsid w:val="00C04F95"/>
    <w:rsid w:val="00C13746"/>
    <w:rsid w:val="00C55C1D"/>
    <w:rsid w:val="00C64126"/>
    <w:rsid w:val="00C67C16"/>
    <w:rsid w:val="00C9504D"/>
    <w:rsid w:val="00CD29A2"/>
    <w:rsid w:val="00CD3E1A"/>
    <w:rsid w:val="00CD6A37"/>
    <w:rsid w:val="00D01057"/>
    <w:rsid w:val="00D11CF0"/>
    <w:rsid w:val="00D47C89"/>
    <w:rsid w:val="00D64AAD"/>
    <w:rsid w:val="00D90BE9"/>
    <w:rsid w:val="00DB2320"/>
    <w:rsid w:val="00DB3652"/>
    <w:rsid w:val="00DC04A9"/>
    <w:rsid w:val="00DD56DD"/>
    <w:rsid w:val="00DD70ED"/>
    <w:rsid w:val="00E065FC"/>
    <w:rsid w:val="00E24DBB"/>
    <w:rsid w:val="00E25A84"/>
    <w:rsid w:val="00E3128E"/>
    <w:rsid w:val="00E70536"/>
    <w:rsid w:val="00E93901"/>
    <w:rsid w:val="00EB1A14"/>
    <w:rsid w:val="00EF42DB"/>
    <w:rsid w:val="00F101E1"/>
    <w:rsid w:val="00F32EBB"/>
    <w:rsid w:val="00FE4170"/>
    <w:rsid w:val="00FF2157"/>
    <w:rsid w:val="00FF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AD2A"/>
  <w15:chartTrackingRefBased/>
  <w15:docId w15:val="{86476C13-8588-4078-81C9-A1F7E1C3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A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3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843"/>
    <w:pPr>
      <w:ind w:left="720"/>
      <w:contextualSpacing/>
    </w:pPr>
  </w:style>
  <w:style w:type="paragraph" w:styleId="PlainText">
    <w:name w:val="Plain Text"/>
    <w:basedOn w:val="Normal"/>
    <w:link w:val="PlainTextChar"/>
    <w:uiPriority w:val="99"/>
    <w:unhideWhenUsed/>
    <w:rsid w:val="0020384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03843"/>
    <w:rPr>
      <w:rFonts w:ascii="Consolas" w:hAnsi="Consolas"/>
      <w:sz w:val="21"/>
      <w:szCs w:val="21"/>
    </w:rPr>
  </w:style>
  <w:style w:type="character" w:styleId="Hyperlink">
    <w:name w:val="Hyperlink"/>
    <w:basedOn w:val="DefaultParagraphFont"/>
    <w:uiPriority w:val="99"/>
    <w:unhideWhenUsed/>
    <w:rsid w:val="00C64126"/>
    <w:rPr>
      <w:color w:val="0563C1"/>
      <w:u w:val="single"/>
    </w:rPr>
  </w:style>
  <w:style w:type="character" w:styleId="FollowedHyperlink">
    <w:name w:val="FollowedHyperlink"/>
    <w:basedOn w:val="DefaultParagraphFont"/>
    <w:uiPriority w:val="99"/>
    <w:semiHidden/>
    <w:unhideWhenUsed/>
    <w:rsid w:val="001C77DB"/>
    <w:rPr>
      <w:color w:val="954F72" w:themeColor="followedHyperlink"/>
      <w:u w:val="single"/>
    </w:rPr>
  </w:style>
  <w:style w:type="character" w:styleId="UnresolvedMention">
    <w:name w:val="Unresolved Mention"/>
    <w:basedOn w:val="DefaultParagraphFont"/>
    <w:uiPriority w:val="99"/>
    <w:semiHidden/>
    <w:unhideWhenUsed/>
    <w:rsid w:val="008E3222"/>
    <w:rPr>
      <w:color w:val="605E5C"/>
      <w:shd w:val="clear" w:color="auto" w:fill="E1DFDD"/>
    </w:rPr>
  </w:style>
  <w:style w:type="character" w:styleId="CommentReference">
    <w:name w:val="annotation reference"/>
    <w:basedOn w:val="DefaultParagraphFont"/>
    <w:uiPriority w:val="99"/>
    <w:semiHidden/>
    <w:unhideWhenUsed/>
    <w:rsid w:val="00F32EBB"/>
    <w:rPr>
      <w:sz w:val="16"/>
      <w:szCs w:val="16"/>
    </w:rPr>
  </w:style>
  <w:style w:type="paragraph" w:styleId="CommentText">
    <w:name w:val="annotation text"/>
    <w:basedOn w:val="Normal"/>
    <w:link w:val="CommentTextChar"/>
    <w:uiPriority w:val="99"/>
    <w:semiHidden/>
    <w:unhideWhenUsed/>
    <w:rsid w:val="00F32EBB"/>
    <w:pPr>
      <w:spacing w:line="240" w:lineRule="auto"/>
    </w:pPr>
    <w:rPr>
      <w:sz w:val="20"/>
      <w:szCs w:val="20"/>
    </w:rPr>
  </w:style>
  <w:style w:type="character" w:customStyle="1" w:styleId="CommentTextChar">
    <w:name w:val="Comment Text Char"/>
    <w:basedOn w:val="DefaultParagraphFont"/>
    <w:link w:val="CommentText"/>
    <w:uiPriority w:val="99"/>
    <w:semiHidden/>
    <w:rsid w:val="00F32EBB"/>
    <w:rPr>
      <w:sz w:val="20"/>
      <w:szCs w:val="20"/>
    </w:rPr>
  </w:style>
  <w:style w:type="paragraph" w:styleId="CommentSubject">
    <w:name w:val="annotation subject"/>
    <w:basedOn w:val="CommentText"/>
    <w:next w:val="CommentText"/>
    <w:link w:val="CommentSubjectChar"/>
    <w:uiPriority w:val="99"/>
    <w:semiHidden/>
    <w:unhideWhenUsed/>
    <w:rsid w:val="00F32EBB"/>
    <w:rPr>
      <w:b/>
      <w:bCs/>
    </w:rPr>
  </w:style>
  <w:style w:type="character" w:customStyle="1" w:styleId="CommentSubjectChar">
    <w:name w:val="Comment Subject Char"/>
    <w:basedOn w:val="CommentTextChar"/>
    <w:link w:val="CommentSubject"/>
    <w:uiPriority w:val="99"/>
    <w:semiHidden/>
    <w:rsid w:val="00F32EBB"/>
    <w:rPr>
      <w:b/>
      <w:bCs/>
      <w:sz w:val="20"/>
      <w:szCs w:val="20"/>
    </w:rPr>
  </w:style>
  <w:style w:type="paragraph" w:styleId="BalloonText">
    <w:name w:val="Balloon Text"/>
    <w:basedOn w:val="Normal"/>
    <w:link w:val="BalloonTextChar"/>
    <w:uiPriority w:val="99"/>
    <w:semiHidden/>
    <w:unhideWhenUsed/>
    <w:rsid w:val="00F32EB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2EBB"/>
    <w:rPr>
      <w:rFonts w:ascii="Times New Roman" w:hAnsi="Times New Roman" w:cs="Times New Roman"/>
      <w:sz w:val="18"/>
      <w:szCs w:val="18"/>
    </w:rPr>
  </w:style>
  <w:style w:type="character" w:customStyle="1" w:styleId="Heading1Char">
    <w:name w:val="Heading 1 Char"/>
    <w:basedOn w:val="DefaultParagraphFont"/>
    <w:link w:val="Heading1"/>
    <w:uiPriority w:val="9"/>
    <w:rsid w:val="00E25A8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6F1A91"/>
    <w:pPr>
      <w:spacing w:after="120"/>
    </w:pPr>
  </w:style>
  <w:style w:type="character" w:customStyle="1" w:styleId="BodyTextChar">
    <w:name w:val="Body Text Char"/>
    <w:basedOn w:val="DefaultParagraphFont"/>
    <w:link w:val="BodyText"/>
    <w:uiPriority w:val="99"/>
    <w:semiHidden/>
    <w:rsid w:val="006F1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721">
      <w:bodyDiv w:val="1"/>
      <w:marLeft w:val="0"/>
      <w:marRight w:val="0"/>
      <w:marTop w:val="0"/>
      <w:marBottom w:val="0"/>
      <w:divBdr>
        <w:top w:val="none" w:sz="0" w:space="0" w:color="auto"/>
        <w:left w:val="none" w:sz="0" w:space="0" w:color="auto"/>
        <w:bottom w:val="none" w:sz="0" w:space="0" w:color="auto"/>
        <w:right w:val="none" w:sz="0" w:space="0" w:color="auto"/>
      </w:divBdr>
    </w:div>
    <w:div w:id="188108374">
      <w:bodyDiv w:val="1"/>
      <w:marLeft w:val="0"/>
      <w:marRight w:val="0"/>
      <w:marTop w:val="0"/>
      <w:marBottom w:val="0"/>
      <w:divBdr>
        <w:top w:val="none" w:sz="0" w:space="0" w:color="auto"/>
        <w:left w:val="none" w:sz="0" w:space="0" w:color="auto"/>
        <w:bottom w:val="none" w:sz="0" w:space="0" w:color="auto"/>
        <w:right w:val="none" w:sz="0" w:space="0" w:color="auto"/>
      </w:divBdr>
    </w:div>
    <w:div w:id="262763076">
      <w:bodyDiv w:val="1"/>
      <w:marLeft w:val="0"/>
      <w:marRight w:val="0"/>
      <w:marTop w:val="0"/>
      <w:marBottom w:val="0"/>
      <w:divBdr>
        <w:top w:val="none" w:sz="0" w:space="0" w:color="auto"/>
        <w:left w:val="none" w:sz="0" w:space="0" w:color="auto"/>
        <w:bottom w:val="none" w:sz="0" w:space="0" w:color="auto"/>
        <w:right w:val="none" w:sz="0" w:space="0" w:color="auto"/>
      </w:divBdr>
    </w:div>
    <w:div w:id="527836765">
      <w:bodyDiv w:val="1"/>
      <w:marLeft w:val="0"/>
      <w:marRight w:val="0"/>
      <w:marTop w:val="0"/>
      <w:marBottom w:val="0"/>
      <w:divBdr>
        <w:top w:val="none" w:sz="0" w:space="0" w:color="auto"/>
        <w:left w:val="none" w:sz="0" w:space="0" w:color="auto"/>
        <w:bottom w:val="none" w:sz="0" w:space="0" w:color="auto"/>
        <w:right w:val="none" w:sz="0" w:space="0" w:color="auto"/>
      </w:divBdr>
    </w:div>
    <w:div w:id="647247174">
      <w:bodyDiv w:val="1"/>
      <w:marLeft w:val="0"/>
      <w:marRight w:val="0"/>
      <w:marTop w:val="0"/>
      <w:marBottom w:val="0"/>
      <w:divBdr>
        <w:top w:val="none" w:sz="0" w:space="0" w:color="auto"/>
        <w:left w:val="none" w:sz="0" w:space="0" w:color="auto"/>
        <w:bottom w:val="none" w:sz="0" w:space="0" w:color="auto"/>
        <w:right w:val="none" w:sz="0" w:space="0" w:color="auto"/>
      </w:divBdr>
    </w:div>
    <w:div w:id="665550617">
      <w:bodyDiv w:val="1"/>
      <w:marLeft w:val="0"/>
      <w:marRight w:val="0"/>
      <w:marTop w:val="0"/>
      <w:marBottom w:val="0"/>
      <w:divBdr>
        <w:top w:val="none" w:sz="0" w:space="0" w:color="auto"/>
        <w:left w:val="none" w:sz="0" w:space="0" w:color="auto"/>
        <w:bottom w:val="none" w:sz="0" w:space="0" w:color="auto"/>
        <w:right w:val="none" w:sz="0" w:space="0" w:color="auto"/>
      </w:divBdr>
    </w:div>
    <w:div w:id="687803152">
      <w:bodyDiv w:val="1"/>
      <w:marLeft w:val="0"/>
      <w:marRight w:val="0"/>
      <w:marTop w:val="0"/>
      <w:marBottom w:val="0"/>
      <w:divBdr>
        <w:top w:val="none" w:sz="0" w:space="0" w:color="auto"/>
        <w:left w:val="none" w:sz="0" w:space="0" w:color="auto"/>
        <w:bottom w:val="none" w:sz="0" w:space="0" w:color="auto"/>
        <w:right w:val="none" w:sz="0" w:space="0" w:color="auto"/>
      </w:divBdr>
    </w:div>
    <w:div w:id="773403433">
      <w:bodyDiv w:val="1"/>
      <w:marLeft w:val="0"/>
      <w:marRight w:val="0"/>
      <w:marTop w:val="0"/>
      <w:marBottom w:val="0"/>
      <w:divBdr>
        <w:top w:val="none" w:sz="0" w:space="0" w:color="auto"/>
        <w:left w:val="none" w:sz="0" w:space="0" w:color="auto"/>
        <w:bottom w:val="none" w:sz="0" w:space="0" w:color="auto"/>
        <w:right w:val="none" w:sz="0" w:space="0" w:color="auto"/>
      </w:divBdr>
    </w:div>
    <w:div w:id="800029121">
      <w:bodyDiv w:val="1"/>
      <w:marLeft w:val="0"/>
      <w:marRight w:val="0"/>
      <w:marTop w:val="0"/>
      <w:marBottom w:val="0"/>
      <w:divBdr>
        <w:top w:val="none" w:sz="0" w:space="0" w:color="auto"/>
        <w:left w:val="none" w:sz="0" w:space="0" w:color="auto"/>
        <w:bottom w:val="none" w:sz="0" w:space="0" w:color="auto"/>
        <w:right w:val="none" w:sz="0" w:space="0" w:color="auto"/>
      </w:divBdr>
    </w:div>
    <w:div w:id="810096609">
      <w:bodyDiv w:val="1"/>
      <w:marLeft w:val="0"/>
      <w:marRight w:val="0"/>
      <w:marTop w:val="0"/>
      <w:marBottom w:val="0"/>
      <w:divBdr>
        <w:top w:val="none" w:sz="0" w:space="0" w:color="auto"/>
        <w:left w:val="none" w:sz="0" w:space="0" w:color="auto"/>
        <w:bottom w:val="none" w:sz="0" w:space="0" w:color="auto"/>
        <w:right w:val="none" w:sz="0" w:space="0" w:color="auto"/>
      </w:divBdr>
    </w:div>
    <w:div w:id="936062022">
      <w:bodyDiv w:val="1"/>
      <w:marLeft w:val="0"/>
      <w:marRight w:val="0"/>
      <w:marTop w:val="0"/>
      <w:marBottom w:val="0"/>
      <w:divBdr>
        <w:top w:val="none" w:sz="0" w:space="0" w:color="auto"/>
        <w:left w:val="none" w:sz="0" w:space="0" w:color="auto"/>
        <w:bottom w:val="none" w:sz="0" w:space="0" w:color="auto"/>
        <w:right w:val="none" w:sz="0" w:space="0" w:color="auto"/>
      </w:divBdr>
    </w:div>
    <w:div w:id="974801120">
      <w:bodyDiv w:val="1"/>
      <w:marLeft w:val="0"/>
      <w:marRight w:val="0"/>
      <w:marTop w:val="0"/>
      <w:marBottom w:val="0"/>
      <w:divBdr>
        <w:top w:val="none" w:sz="0" w:space="0" w:color="auto"/>
        <w:left w:val="none" w:sz="0" w:space="0" w:color="auto"/>
        <w:bottom w:val="none" w:sz="0" w:space="0" w:color="auto"/>
        <w:right w:val="none" w:sz="0" w:space="0" w:color="auto"/>
      </w:divBdr>
    </w:div>
    <w:div w:id="1073308492">
      <w:bodyDiv w:val="1"/>
      <w:marLeft w:val="0"/>
      <w:marRight w:val="0"/>
      <w:marTop w:val="0"/>
      <w:marBottom w:val="0"/>
      <w:divBdr>
        <w:top w:val="none" w:sz="0" w:space="0" w:color="auto"/>
        <w:left w:val="none" w:sz="0" w:space="0" w:color="auto"/>
        <w:bottom w:val="none" w:sz="0" w:space="0" w:color="auto"/>
        <w:right w:val="none" w:sz="0" w:space="0" w:color="auto"/>
      </w:divBdr>
    </w:div>
    <w:div w:id="1080785219">
      <w:bodyDiv w:val="1"/>
      <w:marLeft w:val="0"/>
      <w:marRight w:val="0"/>
      <w:marTop w:val="0"/>
      <w:marBottom w:val="0"/>
      <w:divBdr>
        <w:top w:val="none" w:sz="0" w:space="0" w:color="auto"/>
        <w:left w:val="none" w:sz="0" w:space="0" w:color="auto"/>
        <w:bottom w:val="none" w:sz="0" w:space="0" w:color="auto"/>
        <w:right w:val="none" w:sz="0" w:space="0" w:color="auto"/>
      </w:divBdr>
    </w:div>
    <w:div w:id="1228027157">
      <w:bodyDiv w:val="1"/>
      <w:marLeft w:val="0"/>
      <w:marRight w:val="0"/>
      <w:marTop w:val="0"/>
      <w:marBottom w:val="0"/>
      <w:divBdr>
        <w:top w:val="none" w:sz="0" w:space="0" w:color="auto"/>
        <w:left w:val="none" w:sz="0" w:space="0" w:color="auto"/>
        <w:bottom w:val="none" w:sz="0" w:space="0" w:color="auto"/>
        <w:right w:val="none" w:sz="0" w:space="0" w:color="auto"/>
      </w:divBdr>
    </w:div>
    <w:div w:id="1272936197">
      <w:bodyDiv w:val="1"/>
      <w:marLeft w:val="0"/>
      <w:marRight w:val="0"/>
      <w:marTop w:val="0"/>
      <w:marBottom w:val="0"/>
      <w:divBdr>
        <w:top w:val="none" w:sz="0" w:space="0" w:color="auto"/>
        <w:left w:val="none" w:sz="0" w:space="0" w:color="auto"/>
        <w:bottom w:val="none" w:sz="0" w:space="0" w:color="auto"/>
        <w:right w:val="none" w:sz="0" w:space="0" w:color="auto"/>
      </w:divBdr>
    </w:div>
    <w:div w:id="1361474348">
      <w:bodyDiv w:val="1"/>
      <w:marLeft w:val="0"/>
      <w:marRight w:val="0"/>
      <w:marTop w:val="0"/>
      <w:marBottom w:val="0"/>
      <w:divBdr>
        <w:top w:val="none" w:sz="0" w:space="0" w:color="auto"/>
        <w:left w:val="none" w:sz="0" w:space="0" w:color="auto"/>
        <w:bottom w:val="none" w:sz="0" w:space="0" w:color="auto"/>
        <w:right w:val="none" w:sz="0" w:space="0" w:color="auto"/>
      </w:divBdr>
    </w:div>
    <w:div w:id="1433431034">
      <w:bodyDiv w:val="1"/>
      <w:marLeft w:val="0"/>
      <w:marRight w:val="0"/>
      <w:marTop w:val="0"/>
      <w:marBottom w:val="0"/>
      <w:divBdr>
        <w:top w:val="none" w:sz="0" w:space="0" w:color="auto"/>
        <w:left w:val="none" w:sz="0" w:space="0" w:color="auto"/>
        <w:bottom w:val="none" w:sz="0" w:space="0" w:color="auto"/>
        <w:right w:val="none" w:sz="0" w:space="0" w:color="auto"/>
      </w:divBdr>
    </w:div>
    <w:div w:id="1553343917">
      <w:bodyDiv w:val="1"/>
      <w:marLeft w:val="0"/>
      <w:marRight w:val="0"/>
      <w:marTop w:val="0"/>
      <w:marBottom w:val="0"/>
      <w:divBdr>
        <w:top w:val="none" w:sz="0" w:space="0" w:color="auto"/>
        <w:left w:val="none" w:sz="0" w:space="0" w:color="auto"/>
        <w:bottom w:val="none" w:sz="0" w:space="0" w:color="auto"/>
        <w:right w:val="none" w:sz="0" w:space="0" w:color="auto"/>
      </w:divBdr>
    </w:div>
    <w:div w:id="1612085978">
      <w:bodyDiv w:val="1"/>
      <w:marLeft w:val="0"/>
      <w:marRight w:val="0"/>
      <w:marTop w:val="0"/>
      <w:marBottom w:val="0"/>
      <w:divBdr>
        <w:top w:val="none" w:sz="0" w:space="0" w:color="auto"/>
        <w:left w:val="none" w:sz="0" w:space="0" w:color="auto"/>
        <w:bottom w:val="none" w:sz="0" w:space="0" w:color="auto"/>
        <w:right w:val="none" w:sz="0" w:space="0" w:color="auto"/>
      </w:divBdr>
    </w:div>
    <w:div w:id="1977057090">
      <w:bodyDiv w:val="1"/>
      <w:marLeft w:val="0"/>
      <w:marRight w:val="0"/>
      <w:marTop w:val="0"/>
      <w:marBottom w:val="0"/>
      <w:divBdr>
        <w:top w:val="none" w:sz="0" w:space="0" w:color="auto"/>
        <w:left w:val="none" w:sz="0" w:space="0" w:color="auto"/>
        <w:bottom w:val="none" w:sz="0" w:space="0" w:color="auto"/>
        <w:right w:val="none" w:sz="0" w:space="0" w:color="auto"/>
      </w:divBdr>
    </w:div>
    <w:div w:id="2040624894">
      <w:bodyDiv w:val="1"/>
      <w:marLeft w:val="0"/>
      <w:marRight w:val="0"/>
      <w:marTop w:val="0"/>
      <w:marBottom w:val="0"/>
      <w:divBdr>
        <w:top w:val="none" w:sz="0" w:space="0" w:color="auto"/>
        <w:left w:val="none" w:sz="0" w:space="0" w:color="auto"/>
        <w:bottom w:val="none" w:sz="0" w:space="0" w:color="auto"/>
        <w:right w:val="none" w:sz="0" w:space="0" w:color="auto"/>
      </w:divBdr>
    </w:div>
    <w:div w:id="209092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2BC17-EFAC-41F5-AD8D-CEFF0677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759</Words>
  <Characters>4329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Laramie, Ellyn</dc:creator>
  <cp:keywords/>
  <dc:description/>
  <cp:lastModifiedBy>Headley, Maurice A</cp:lastModifiedBy>
  <cp:revision>2</cp:revision>
  <dcterms:created xsi:type="dcterms:W3CDTF">2025-03-12T14:29:00Z</dcterms:created>
  <dcterms:modified xsi:type="dcterms:W3CDTF">2025-03-12T14:29:00Z</dcterms:modified>
</cp:coreProperties>
</file>